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DF" w:rsidRPr="009920A6" w:rsidRDefault="008968DF" w:rsidP="008968DF">
      <w:pPr>
        <w:pStyle w:val="Heading3"/>
      </w:pPr>
      <w:bookmarkStart w:id="0" w:name="_Toc497330254"/>
      <w:bookmarkStart w:id="1" w:name="_Toc497412041"/>
      <w:bookmarkStart w:id="2" w:name="_Toc497416087"/>
      <w:bookmarkStart w:id="3" w:name="_Toc497419241"/>
      <w:bookmarkStart w:id="4" w:name="_Toc497502232"/>
      <w:bookmarkStart w:id="5" w:name="_Toc497504811"/>
      <w:bookmarkStart w:id="6" w:name="_Toc497803965"/>
      <w:bookmarkStart w:id="7" w:name="_Toc497804704"/>
      <w:bookmarkStart w:id="8" w:name="_Toc497812062"/>
      <w:bookmarkStart w:id="9" w:name="_Toc497812825"/>
      <w:bookmarkStart w:id="10" w:name="_Toc497813188"/>
      <w:bookmarkStart w:id="11" w:name="_Toc497813610"/>
      <w:bookmarkStart w:id="12" w:name="_Toc497827676"/>
      <w:bookmarkStart w:id="13" w:name="_Toc497847402"/>
      <w:bookmarkStart w:id="14" w:name="_Toc497848277"/>
      <w:bookmarkStart w:id="15" w:name="_Toc497849243"/>
      <w:bookmarkStart w:id="16" w:name="_Toc497905807"/>
      <w:bookmarkStart w:id="17" w:name="_Toc497906057"/>
      <w:bookmarkStart w:id="18" w:name="_Toc497906458"/>
      <w:r>
        <w:t>7.07</w:t>
      </w:r>
      <w:r>
        <w:tab/>
        <w:t>F17</w:t>
      </w:r>
      <w:r>
        <w:tab/>
      </w:r>
      <w:r w:rsidRPr="009920A6">
        <w:t>Implementing AB 705 (Irwin, 2017) to Serve the Needs of All Community College Students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8968DF" w:rsidRPr="009920A6" w:rsidRDefault="008968DF" w:rsidP="008968DF">
      <w:pPr>
        <w:rPr>
          <w:rFonts w:cs="Times New Roman"/>
          <w:color w:val="000000" w:themeColor="text1"/>
        </w:rPr>
      </w:pPr>
      <w:r w:rsidRPr="009920A6">
        <w:rPr>
          <w:rFonts w:cs="Times New Roman"/>
          <w:color w:val="000000" w:themeColor="text1"/>
        </w:rPr>
        <w:t>Whereas, The recent passage of AB 705 (Irwin, 2017)</w:t>
      </w:r>
      <w:r w:rsidRPr="009920A6">
        <w:rPr>
          <w:rStyle w:val="FootnoteReference"/>
          <w:rFonts w:cs="Times New Roman"/>
          <w:color w:val="000000" w:themeColor="text1"/>
        </w:rPr>
        <w:footnoteReference w:id="1"/>
      </w:r>
      <w:r w:rsidRPr="009920A6">
        <w:rPr>
          <w:rFonts w:cs="Times New Roman"/>
          <w:color w:val="000000" w:themeColor="text1"/>
        </w:rPr>
        <w:t xml:space="preserve"> and the language in the </w:t>
      </w:r>
      <w:r>
        <w:rPr>
          <w:rFonts w:cs="Times New Roman"/>
          <w:color w:val="000000" w:themeColor="text1"/>
        </w:rPr>
        <w:t>Common Assessment Initiative Reset m</w:t>
      </w:r>
      <w:r w:rsidRPr="009920A6">
        <w:rPr>
          <w:rFonts w:cs="Times New Roman"/>
          <w:color w:val="000000" w:themeColor="text1"/>
        </w:rPr>
        <w:t>emo on October 24, 2017</w:t>
      </w:r>
      <w:r w:rsidRPr="009920A6">
        <w:rPr>
          <w:rStyle w:val="FootnoteReference"/>
          <w:rFonts w:cs="Times New Roman"/>
          <w:color w:val="000000" w:themeColor="text1"/>
        </w:rPr>
        <w:footnoteReference w:id="2"/>
      </w:r>
      <w:r w:rsidRPr="009920A6">
        <w:rPr>
          <w:rFonts w:cs="Times New Roman"/>
          <w:color w:val="000000" w:themeColor="text1"/>
        </w:rPr>
        <w:t xml:space="preserve"> </w:t>
      </w:r>
      <w:r>
        <w:rPr>
          <w:rFonts w:cs="Times New Roman"/>
          <w:color w:val="000000" w:themeColor="text1"/>
        </w:rPr>
        <w:t xml:space="preserve">from Chancellor </w:t>
      </w:r>
      <w:proofErr w:type="spellStart"/>
      <w:r>
        <w:rPr>
          <w:rFonts w:cs="Times New Roman"/>
          <w:color w:val="000000" w:themeColor="text1"/>
        </w:rPr>
        <w:t>Eloy</w:t>
      </w:r>
      <w:proofErr w:type="spellEnd"/>
      <w:r>
        <w:rPr>
          <w:rFonts w:cs="Times New Roman"/>
          <w:color w:val="000000" w:themeColor="text1"/>
        </w:rPr>
        <w:t xml:space="preserve"> Oakley </w:t>
      </w:r>
      <w:r w:rsidRPr="009920A6">
        <w:rPr>
          <w:rFonts w:cs="Times New Roman"/>
          <w:color w:val="000000" w:themeColor="text1"/>
        </w:rPr>
        <w:t>suspending the development o</w:t>
      </w:r>
      <w:r>
        <w:rPr>
          <w:rFonts w:cs="Times New Roman"/>
          <w:color w:val="000000" w:themeColor="text1"/>
        </w:rPr>
        <w:t>f the common assessment test have</w:t>
      </w:r>
      <w:r w:rsidRPr="009920A6">
        <w:rPr>
          <w:rFonts w:cs="Times New Roman"/>
          <w:color w:val="000000" w:themeColor="text1"/>
        </w:rPr>
        <w:t xml:space="preserve"> shifted the focus from assessment testing to the use of high school transcript data to make placement decisions, but the requirement to use multiple measures for assessment remains in place as indicated by §78213(d)(1)(C) which states that: </w:t>
      </w:r>
      <w:r w:rsidRPr="009920A6">
        <w:rPr>
          <w:rFonts w:cs="Times New Roman"/>
          <w:i/>
          <w:color w:val="000000" w:themeColor="text1"/>
        </w:rPr>
        <w:t>Multiple measures shall apply in the placement of all students in such a manner so that either of the following may occur: (</w:t>
      </w:r>
      <w:proofErr w:type="spellStart"/>
      <w:r w:rsidRPr="009920A6">
        <w:rPr>
          <w:rFonts w:cs="Times New Roman"/>
          <w:i/>
          <w:color w:val="000000" w:themeColor="text1"/>
        </w:rPr>
        <w:t>i</w:t>
      </w:r>
      <w:proofErr w:type="spellEnd"/>
      <w:r w:rsidRPr="009920A6">
        <w:rPr>
          <w:rFonts w:cs="Times New Roman"/>
          <w:i/>
          <w:color w:val="000000" w:themeColor="text1"/>
        </w:rPr>
        <w:t>) Low performance on one measure may be offset by high performance on another measure. (ii) The student can demonstrate preparedness and thus bypass remediation based on any one measure</w:t>
      </w:r>
      <w:r>
        <w:rPr>
          <w:rFonts w:cs="Times New Roman"/>
          <w:i/>
          <w:color w:val="000000" w:themeColor="text1"/>
        </w:rPr>
        <w:t>;</w:t>
      </w:r>
      <w:r w:rsidRPr="009920A6">
        <w:rPr>
          <w:rFonts w:cs="Times New Roman"/>
          <w:color w:val="000000" w:themeColor="text1"/>
        </w:rPr>
        <w:t xml:space="preserve"> </w:t>
      </w:r>
    </w:p>
    <w:p w:rsidR="008968DF" w:rsidRPr="009920A6" w:rsidRDefault="008968DF" w:rsidP="008968DF">
      <w:pPr>
        <w:rPr>
          <w:rFonts w:cs="Times New Roman"/>
          <w:color w:val="000000" w:themeColor="text1"/>
        </w:rPr>
      </w:pPr>
    </w:p>
    <w:p w:rsidR="008968DF" w:rsidRPr="009920A6" w:rsidRDefault="008968DF" w:rsidP="008968DF">
      <w:pPr>
        <w:rPr>
          <w:rFonts w:cs="Times New Roman"/>
          <w:color w:val="000000" w:themeColor="text1"/>
        </w:rPr>
      </w:pPr>
      <w:r>
        <w:rPr>
          <w:rFonts w:cs="Times New Roman"/>
          <w:color w:val="000000" w:themeColor="text1"/>
        </w:rPr>
        <w:t>Whereas, While t</w:t>
      </w:r>
      <w:r w:rsidRPr="009920A6">
        <w:rPr>
          <w:rFonts w:cs="Times New Roman"/>
          <w:color w:val="000000" w:themeColor="text1"/>
        </w:rPr>
        <w:t>he use of high school transcript data has shown promise for students with complete hig</w:t>
      </w:r>
      <w:r>
        <w:rPr>
          <w:rFonts w:cs="Times New Roman"/>
          <w:color w:val="000000" w:themeColor="text1"/>
        </w:rPr>
        <w:t>h school transcripts,</w:t>
      </w:r>
      <w:r w:rsidRPr="009920A6">
        <w:rPr>
          <w:rFonts w:cs="Times New Roman"/>
          <w:color w:val="000000" w:themeColor="text1"/>
        </w:rPr>
        <w:t xml:space="preserve"> it has not been effective in placing English language learners</w:t>
      </w:r>
      <w:r>
        <w:rPr>
          <w:rFonts w:cs="Times New Roman"/>
          <w:color w:val="000000" w:themeColor="text1"/>
        </w:rPr>
        <w:t>,</w:t>
      </w:r>
      <w:r w:rsidRPr="009920A6">
        <w:rPr>
          <w:rFonts w:cs="Times New Roman"/>
          <w:color w:val="000000" w:themeColor="text1"/>
        </w:rPr>
        <w:t xml:space="preserve"> and many community college students will not be well served by using high school transcript data</w:t>
      </w:r>
      <w:r>
        <w:rPr>
          <w:rFonts w:cs="Times New Roman"/>
          <w:color w:val="000000" w:themeColor="text1"/>
        </w:rPr>
        <w:t>,</w:t>
      </w:r>
      <w:r w:rsidRPr="009920A6">
        <w:rPr>
          <w:rFonts w:cs="Times New Roman"/>
          <w:color w:val="000000" w:themeColor="text1"/>
        </w:rPr>
        <w:t xml:space="preserve"> including students that do not have access to complete high school transcripts (homeless or internatio</w:t>
      </w:r>
      <w:r>
        <w:rPr>
          <w:rFonts w:cs="Times New Roman"/>
          <w:color w:val="000000" w:themeColor="text1"/>
        </w:rPr>
        <w:t>nal students) and students whose</w:t>
      </w:r>
      <w:r w:rsidRPr="009920A6">
        <w:rPr>
          <w:rFonts w:cs="Times New Roman"/>
          <w:color w:val="000000" w:themeColor="text1"/>
        </w:rPr>
        <w:t xml:space="preserve"> high school transcripts are not accurate reflection</w:t>
      </w:r>
      <w:r>
        <w:rPr>
          <w:rFonts w:cs="Times New Roman"/>
          <w:color w:val="000000" w:themeColor="text1"/>
        </w:rPr>
        <w:t>s</w:t>
      </w:r>
      <w:r w:rsidRPr="009920A6">
        <w:rPr>
          <w:rFonts w:cs="Times New Roman"/>
          <w:color w:val="000000" w:themeColor="text1"/>
        </w:rPr>
        <w:t xml:space="preserve"> of their abilities, skills and knowledge (adult students or veterans); and </w:t>
      </w:r>
    </w:p>
    <w:p w:rsidR="008968DF" w:rsidRPr="009920A6" w:rsidRDefault="008968DF" w:rsidP="008968DF">
      <w:pPr>
        <w:rPr>
          <w:rFonts w:cs="Times New Roman"/>
          <w:color w:val="000000" w:themeColor="text1"/>
        </w:rPr>
      </w:pPr>
    </w:p>
    <w:p w:rsidR="008968DF" w:rsidRPr="009920A6" w:rsidRDefault="008968DF" w:rsidP="008968DF">
      <w:pPr>
        <w:rPr>
          <w:rFonts w:cs="Times New Roman"/>
          <w:color w:val="000000" w:themeColor="text1"/>
        </w:rPr>
      </w:pPr>
      <w:r w:rsidRPr="009920A6">
        <w:rPr>
          <w:rFonts w:cs="Times New Roman"/>
          <w:color w:val="000000" w:themeColor="text1"/>
        </w:rPr>
        <w:t>Whereas, California community colleges must be able to serve the needs of all students and must have a variety of assessment and placement tools available to assist colleges with the accurate and appropriate student placement;</w:t>
      </w:r>
    </w:p>
    <w:p w:rsidR="008968DF" w:rsidRPr="009920A6" w:rsidRDefault="008968DF" w:rsidP="008968DF">
      <w:pPr>
        <w:rPr>
          <w:rFonts w:cs="Times New Roman"/>
          <w:color w:val="000000" w:themeColor="text1"/>
        </w:rPr>
      </w:pPr>
    </w:p>
    <w:p w:rsidR="008968DF" w:rsidRPr="009920A6" w:rsidRDefault="008968DF" w:rsidP="008968DF">
      <w:pPr>
        <w:rPr>
          <w:rFonts w:cs="Times New Roman"/>
          <w:color w:val="000000" w:themeColor="text1"/>
        </w:rPr>
      </w:pPr>
      <w:r w:rsidRPr="009920A6">
        <w:rPr>
          <w:rFonts w:cs="Times New Roman"/>
          <w:color w:val="000000" w:themeColor="text1"/>
        </w:rPr>
        <w:t xml:space="preserve">Resolved, That the Academic Senate for California Community Colleges work with the California Community Colleges Chancellor’s Office to ensure that the implementation of AB 705 is flexible enough to allow the colleges to effectively place all students into courses in mathematics, English, English as a Second Language, and reading and that the requirement that colleges apply a minimum of two measures when placing students is maintained; </w:t>
      </w:r>
    </w:p>
    <w:p w:rsidR="008968DF" w:rsidRPr="009920A6" w:rsidRDefault="008968DF" w:rsidP="008968DF">
      <w:pPr>
        <w:rPr>
          <w:rFonts w:cs="Times New Roman"/>
          <w:color w:val="000000" w:themeColor="text1"/>
        </w:rPr>
      </w:pPr>
    </w:p>
    <w:p w:rsidR="008968DF" w:rsidRPr="009920A6" w:rsidRDefault="008968DF" w:rsidP="008968DF">
      <w:pPr>
        <w:rPr>
          <w:rFonts w:cs="Times New Roman"/>
          <w:color w:val="000000" w:themeColor="text1"/>
        </w:rPr>
      </w:pPr>
      <w:r w:rsidRPr="009920A6">
        <w:rPr>
          <w:rFonts w:cs="Times New Roman"/>
          <w:color w:val="000000" w:themeColor="text1"/>
        </w:rPr>
        <w:t>Resolved, That the Academic Senate for California Community Colleges work with local senates to ensure that there is appropriate professional development around the implementation of AB 705 and the application of multiple measures to determine the optimal placement for each student; and</w:t>
      </w:r>
    </w:p>
    <w:p w:rsidR="008968DF" w:rsidRPr="009920A6" w:rsidRDefault="008968DF" w:rsidP="008968DF">
      <w:pPr>
        <w:rPr>
          <w:rFonts w:cs="Times New Roman"/>
          <w:color w:val="000000" w:themeColor="text1"/>
        </w:rPr>
      </w:pPr>
    </w:p>
    <w:p w:rsidR="008968DF" w:rsidRPr="00787ADF" w:rsidRDefault="008968DF" w:rsidP="008968DF">
      <w:pPr>
        <w:pStyle w:val="FootnoteText"/>
        <w:rPr>
          <w:sz w:val="24"/>
        </w:rPr>
      </w:pPr>
      <w:r w:rsidRPr="00787ADF">
        <w:rPr>
          <w:sz w:val="24"/>
        </w:rPr>
        <w:t>Resolved, That the Academic Senate for California Community Colleges continue to explore additional multiple measures beyond high school transcript data to ensure that colleges have a wide range of assessment tools that will serve the needs of all community college students.</w:t>
      </w:r>
    </w:p>
    <w:p w:rsidR="008968DF" w:rsidRPr="009920A6" w:rsidRDefault="008968DF" w:rsidP="008968DF">
      <w:pPr>
        <w:rPr>
          <w:rFonts w:cs="Times New Roman"/>
          <w:color w:val="000000" w:themeColor="text1"/>
        </w:rPr>
      </w:pPr>
    </w:p>
    <w:p w:rsidR="008968DF" w:rsidRDefault="008968DF" w:rsidP="008968DF">
      <w:pPr>
        <w:rPr>
          <w:rFonts w:cs="Times New Roman"/>
          <w:color w:val="000000" w:themeColor="text1"/>
        </w:rPr>
      </w:pPr>
      <w:r>
        <w:rPr>
          <w:rFonts w:cs="Times New Roman"/>
          <w:color w:val="000000" w:themeColor="text1"/>
        </w:rPr>
        <w:t>Contact: Julie Bruno</w:t>
      </w:r>
      <w:r w:rsidRPr="009920A6">
        <w:rPr>
          <w:rFonts w:cs="Times New Roman"/>
          <w:color w:val="000000" w:themeColor="text1"/>
        </w:rPr>
        <w:t>: Executive Committee</w:t>
      </w:r>
    </w:p>
    <w:p w:rsidR="008968DF" w:rsidRDefault="008968DF" w:rsidP="008968DF">
      <w:pPr>
        <w:rPr>
          <w:rFonts w:cs="Times New Roman"/>
          <w:color w:val="000000" w:themeColor="text1"/>
        </w:rPr>
      </w:pPr>
    </w:p>
    <w:p w:rsidR="008968DF" w:rsidRDefault="008968DF" w:rsidP="008968DF">
      <w:r>
        <w:t>Acclamation</w:t>
      </w:r>
    </w:p>
    <w:p w:rsidR="008968DF" w:rsidRDefault="008968DF" w:rsidP="008968DF">
      <w:pPr>
        <w:rPr>
          <w:rFonts w:cs="Times New Roman"/>
          <w:color w:val="000000" w:themeColor="text1"/>
        </w:rPr>
      </w:pPr>
    </w:p>
    <w:p w:rsidR="00A270BC" w:rsidRDefault="00A270BC">
      <w:bookmarkStart w:id="19" w:name="_GoBack"/>
      <w:bookmarkEnd w:id="19"/>
    </w:p>
    <w:sectPr w:rsidR="00A270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8DF" w:rsidRDefault="008968DF" w:rsidP="008968DF">
      <w:r>
        <w:separator/>
      </w:r>
    </w:p>
  </w:endnote>
  <w:endnote w:type="continuationSeparator" w:id="0">
    <w:p w:rsidR="008968DF" w:rsidRDefault="008968DF" w:rsidP="0089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8DF" w:rsidRDefault="008968DF" w:rsidP="008968DF">
      <w:r>
        <w:separator/>
      </w:r>
    </w:p>
  </w:footnote>
  <w:footnote w:type="continuationSeparator" w:id="0">
    <w:p w:rsidR="008968DF" w:rsidRDefault="008968DF" w:rsidP="008968DF">
      <w:r>
        <w:continuationSeparator/>
      </w:r>
    </w:p>
  </w:footnote>
  <w:footnote w:id="1">
    <w:p w:rsidR="008968DF" w:rsidRDefault="008968DF" w:rsidP="008968DF">
      <w:pPr>
        <w:pStyle w:val="FootnoteText"/>
      </w:pPr>
      <w:r>
        <w:rPr>
          <w:rStyle w:val="FootnoteReference"/>
        </w:rPr>
        <w:footnoteRef/>
      </w:r>
      <w:r>
        <w:t xml:space="preserve"> AB 705: </w:t>
      </w:r>
      <w:hyperlink r:id="rId1" w:history="1">
        <w:r w:rsidRPr="006715F9">
          <w:rPr>
            <w:rStyle w:val="Hyperlink"/>
          </w:rPr>
          <w:t>https://leginfo.legislature.ca.gov/faces/billTextClient.xhtml?bill_id=201720180AB705</w:t>
        </w:r>
      </w:hyperlink>
    </w:p>
  </w:footnote>
  <w:footnote w:id="2">
    <w:p w:rsidR="008968DF" w:rsidRDefault="008968DF" w:rsidP="008968DF">
      <w:pPr>
        <w:pStyle w:val="FootnoteText"/>
      </w:pPr>
      <w:r>
        <w:rPr>
          <w:rStyle w:val="FootnoteReference"/>
        </w:rPr>
        <w:footnoteRef/>
      </w:r>
      <w:r>
        <w:t xml:space="preserve"> CAI Reset 10.24.17 from </w:t>
      </w:r>
      <w:proofErr w:type="spellStart"/>
      <w:r>
        <w:t>Eloy</w:t>
      </w:r>
      <w:proofErr w:type="spellEnd"/>
      <w:r>
        <w:t xml:space="preserve"> Ortiz Oakley: </w:t>
      </w:r>
      <w:hyperlink r:id="rId2" w:history="1">
        <w:r w:rsidRPr="00AE2A31">
          <w:rPr>
            <w:rStyle w:val="Hyperlink"/>
          </w:rPr>
          <w:t>https://www.cccassess.org/2016-10-05-23-31-41?download...common-assessment</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8DF"/>
    <w:rsid w:val="008968DF"/>
    <w:rsid w:val="00A27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DF"/>
    <w:pPr>
      <w:spacing w:after="0" w:line="240" w:lineRule="auto"/>
    </w:pPr>
    <w:rPr>
      <w:rFonts w:ascii="Times New Roman" w:hAnsi="Times New Roman"/>
      <w:sz w:val="24"/>
      <w:szCs w:val="24"/>
    </w:rPr>
  </w:style>
  <w:style w:type="paragraph" w:styleId="Heading3">
    <w:name w:val="heading 3"/>
    <w:aliases w:val="Heading 3 Final Packet"/>
    <w:basedOn w:val="Normal"/>
    <w:next w:val="Normal"/>
    <w:link w:val="Heading3Char"/>
    <w:uiPriority w:val="9"/>
    <w:unhideWhenUsed/>
    <w:qFormat/>
    <w:rsid w:val="008968DF"/>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Final Packet Char"/>
    <w:basedOn w:val="DefaultParagraphFont"/>
    <w:link w:val="Heading3"/>
    <w:uiPriority w:val="9"/>
    <w:rsid w:val="008968DF"/>
    <w:rPr>
      <w:rFonts w:ascii="Times New Roman" w:eastAsiaTheme="majorEastAsia" w:hAnsi="Times New Roman" w:cstheme="majorBidi"/>
      <w:b/>
      <w:color w:val="000000" w:themeColor="text1"/>
      <w:sz w:val="24"/>
      <w:szCs w:val="24"/>
    </w:rPr>
  </w:style>
  <w:style w:type="character" w:styleId="Hyperlink">
    <w:name w:val="Hyperlink"/>
    <w:basedOn w:val="DefaultParagraphFont"/>
    <w:uiPriority w:val="99"/>
    <w:unhideWhenUsed/>
    <w:rsid w:val="008968DF"/>
    <w:rPr>
      <w:color w:val="0000FF" w:themeColor="hyperlink"/>
      <w:u w:val="single"/>
    </w:rPr>
  </w:style>
  <w:style w:type="paragraph" w:styleId="FootnoteText">
    <w:name w:val="footnote text"/>
    <w:basedOn w:val="Normal"/>
    <w:link w:val="FootnoteTextChar"/>
    <w:uiPriority w:val="99"/>
    <w:unhideWhenUsed/>
    <w:rsid w:val="008968DF"/>
    <w:rPr>
      <w:rFonts w:eastAsiaTheme="minorEastAsia" w:cs="Times New Roman"/>
      <w:sz w:val="20"/>
    </w:rPr>
  </w:style>
  <w:style w:type="character" w:customStyle="1" w:styleId="FootnoteTextChar">
    <w:name w:val="Footnote Text Char"/>
    <w:basedOn w:val="DefaultParagraphFont"/>
    <w:link w:val="FootnoteText"/>
    <w:uiPriority w:val="99"/>
    <w:rsid w:val="008968DF"/>
    <w:rPr>
      <w:rFonts w:ascii="Times New Roman" w:eastAsiaTheme="minorEastAsia" w:hAnsi="Times New Roman" w:cs="Times New Roman"/>
      <w:sz w:val="20"/>
      <w:szCs w:val="24"/>
    </w:rPr>
  </w:style>
  <w:style w:type="character" w:styleId="FootnoteReference">
    <w:name w:val="footnote reference"/>
    <w:basedOn w:val="DefaultParagraphFont"/>
    <w:uiPriority w:val="99"/>
    <w:unhideWhenUsed/>
    <w:rsid w:val="008968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8DF"/>
    <w:pPr>
      <w:spacing w:after="0" w:line="240" w:lineRule="auto"/>
    </w:pPr>
    <w:rPr>
      <w:rFonts w:ascii="Times New Roman" w:hAnsi="Times New Roman"/>
      <w:sz w:val="24"/>
      <w:szCs w:val="24"/>
    </w:rPr>
  </w:style>
  <w:style w:type="paragraph" w:styleId="Heading3">
    <w:name w:val="heading 3"/>
    <w:aliases w:val="Heading 3 Final Packet"/>
    <w:basedOn w:val="Normal"/>
    <w:next w:val="Normal"/>
    <w:link w:val="Heading3Char"/>
    <w:uiPriority w:val="9"/>
    <w:unhideWhenUsed/>
    <w:qFormat/>
    <w:rsid w:val="008968DF"/>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Final Packet Char"/>
    <w:basedOn w:val="DefaultParagraphFont"/>
    <w:link w:val="Heading3"/>
    <w:uiPriority w:val="9"/>
    <w:rsid w:val="008968DF"/>
    <w:rPr>
      <w:rFonts w:ascii="Times New Roman" w:eastAsiaTheme="majorEastAsia" w:hAnsi="Times New Roman" w:cstheme="majorBidi"/>
      <w:b/>
      <w:color w:val="000000" w:themeColor="text1"/>
      <w:sz w:val="24"/>
      <w:szCs w:val="24"/>
    </w:rPr>
  </w:style>
  <w:style w:type="character" w:styleId="Hyperlink">
    <w:name w:val="Hyperlink"/>
    <w:basedOn w:val="DefaultParagraphFont"/>
    <w:uiPriority w:val="99"/>
    <w:unhideWhenUsed/>
    <w:rsid w:val="008968DF"/>
    <w:rPr>
      <w:color w:val="0000FF" w:themeColor="hyperlink"/>
      <w:u w:val="single"/>
    </w:rPr>
  </w:style>
  <w:style w:type="paragraph" w:styleId="FootnoteText">
    <w:name w:val="footnote text"/>
    <w:basedOn w:val="Normal"/>
    <w:link w:val="FootnoteTextChar"/>
    <w:uiPriority w:val="99"/>
    <w:unhideWhenUsed/>
    <w:rsid w:val="008968DF"/>
    <w:rPr>
      <w:rFonts w:eastAsiaTheme="minorEastAsia" w:cs="Times New Roman"/>
      <w:sz w:val="20"/>
    </w:rPr>
  </w:style>
  <w:style w:type="character" w:customStyle="1" w:styleId="FootnoteTextChar">
    <w:name w:val="Footnote Text Char"/>
    <w:basedOn w:val="DefaultParagraphFont"/>
    <w:link w:val="FootnoteText"/>
    <w:uiPriority w:val="99"/>
    <w:rsid w:val="008968DF"/>
    <w:rPr>
      <w:rFonts w:ascii="Times New Roman" w:eastAsiaTheme="minorEastAsia" w:hAnsi="Times New Roman" w:cs="Times New Roman"/>
      <w:sz w:val="20"/>
      <w:szCs w:val="24"/>
    </w:rPr>
  </w:style>
  <w:style w:type="character" w:styleId="FootnoteReference">
    <w:name w:val="footnote reference"/>
    <w:basedOn w:val="DefaultParagraphFont"/>
    <w:uiPriority w:val="99"/>
    <w:unhideWhenUsed/>
    <w:rsid w:val="008968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cccassess.org/2016-10-05-23-31-41?download...common-assessment" TargetMode="External"/><Relationship Id="rId1" Type="http://schemas.openxmlformats.org/officeDocument/2006/relationships/hyperlink" Target="https://leginfo.legislature.ca.gov/faces/billTextClient.xhtml?bill_id=201720180AB7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2017-11-15T18:01:00Z</dcterms:created>
  <dcterms:modified xsi:type="dcterms:W3CDTF">2017-11-15T18:01:00Z</dcterms:modified>
</cp:coreProperties>
</file>