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9956" w14:textId="77777777" w:rsidR="00AB2548" w:rsidRDefault="009D17B9">
      <w:bookmarkStart w:id="0" w:name="_GoBack"/>
      <w:bookmarkEnd w:id="0"/>
      <w:r w:rsidRPr="008F6C41">
        <w:rPr>
          <w:rFonts w:eastAsia="Calibri"/>
          <w:noProof/>
          <w:sz w:val="22"/>
          <w:szCs w:val="22"/>
        </w:rPr>
        <w:drawing>
          <wp:anchor distT="0" distB="0" distL="114300" distR="114300" simplePos="0" relativeHeight="251659264" behindDoc="0" locked="0" layoutInCell="1" allowOverlap="1" wp14:anchorId="576621FE" wp14:editId="0432FCEC">
            <wp:simplePos x="0" y="0"/>
            <wp:positionH relativeFrom="column">
              <wp:posOffset>1194435</wp:posOffset>
            </wp:positionH>
            <wp:positionV relativeFrom="paragraph">
              <wp:posOffset>118745</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7BB869E8" w14:textId="77777777" w:rsidR="009D17B9" w:rsidRDefault="009D17B9"/>
    <w:p w14:paraId="6CC3D82C" w14:textId="77777777" w:rsidR="009D17B9" w:rsidRDefault="009D17B9"/>
    <w:p w14:paraId="30490998" w14:textId="77777777" w:rsidR="009D17B9" w:rsidRDefault="009D17B9" w:rsidP="009D17B9">
      <w:pPr>
        <w:jc w:val="center"/>
      </w:pPr>
    </w:p>
    <w:p w14:paraId="7D01DE90" w14:textId="77777777" w:rsidR="009D17B9" w:rsidRDefault="009D17B9"/>
    <w:p w14:paraId="4BC42C0E" w14:textId="77777777" w:rsidR="009D17B9" w:rsidRDefault="009D17B9"/>
    <w:p w14:paraId="3FDAE4BC" w14:textId="77777777" w:rsidR="009D17B9" w:rsidRDefault="009D17B9"/>
    <w:p w14:paraId="4B85DD5C" w14:textId="77777777" w:rsidR="009D17B9" w:rsidRDefault="009D17B9"/>
    <w:p w14:paraId="6989DCD3" w14:textId="77777777" w:rsidR="009D17B9" w:rsidRDefault="009D17B9"/>
    <w:p w14:paraId="68E972A7" w14:textId="77777777" w:rsidR="009D17B9" w:rsidRDefault="009D17B9"/>
    <w:p w14:paraId="5EE04F00" w14:textId="65CF0CB7" w:rsidR="009D17B9" w:rsidRPr="009D17B9" w:rsidRDefault="00DD0A3C" w:rsidP="009D17B9">
      <w:pPr>
        <w:jc w:val="center"/>
        <w:rPr>
          <w:b/>
          <w:sz w:val="44"/>
          <w:szCs w:val="44"/>
        </w:rPr>
      </w:pPr>
      <w:r>
        <w:rPr>
          <w:b/>
          <w:sz w:val="44"/>
          <w:szCs w:val="44"/>
        </w:rPr>
        <w:t>50</w:t>
      </w:r>
      <w:r w:rsidRPr="00DD0A3C">
        <w:rPr>
          <w:b/>
          <w:sz w:val="44"/>
          <w:szCs w:val="44"/>
          <w:vertAlign w:val="superscript"/>
        </w:rPr>
        <w:t>th</w:t>
      </w:r>
      <w:r>
        <w:rPr>
          <w:b/>
          <w:sz w:val="44"/>
          <w:szCs w:val="44"/>
        </w:rPr>
        <w:t xml:space="preserve"> FALL</w:t>
      </w:r>
      <w:r w:rsidR="009D17B9" w:rsidRPr="009D17B9">
        <w:rPr>
          <w:b/>
          <w:sz w:val="44"/>
          <w:szCs w:val="44"/>
        </w:rPr>
        <w:t xml:space="preserve"> SESSION</w:t>
      </w:r>
      <w:r>
        <w:rPr>
          <w:b/>
          <w:sz w:val="44"/>
          <w:szCs w:val="44"/>
        </w:rPr>
        <w:t xml:space="preserve"> RESOLUTIONS</w:t>
      </w:r>
    </w:p>
    <w:p w14:paraId="5E43A723" w14:textId="77777777" w:rsidR="009D17B9" w:rsidRDefault="009D17B9" w:rsidP="009D17B9">
      <w:pPr>
        <w:jc w:val="center"/>
        <w:rPr>
          <w:sz w:val="44"/>
          <w:szCs w:val="44"/>
        </w:rPr>
      </w:pPr>
    </w:p>
    <w:p w14:paraId="571802E2" w14:textId="77777777" w:rsidR="00B4658B" w:rsidRDefault="00B4658B" w:rsidP="009D17B9">
      <w:pPr>
        <w:jc w:val="center"/>
        <w:rPr>
          <w:sz w:val="44"/>
          <w:szCs w:val="44"/>
        </w:rPr>
      </w:pPr>
    </w:p>
    <w:p w14:paraId="4F336B7F" w14:textId="77777777" w:rsidR="00B4658B" w:rsidRPr="009D17B9" w:rsidRDefault="00B4658B" w:rsidP="009D17B9">
      <w:pPr>
        <w:jc w:val="center"/>
        <w:rPr>
          <w:sz w:val="44"/>
          <w:szCs w:val="44"/>
        </w:rPr>
      </w:pPr>
    </w:p>
    <w:p w14:paraId="646FD862" w14:textId="77777777" w:rsidR="009D17B9" w:rsidRPr="00B4658B" w:rsidRDefault="009D17B9" w:rsidP="009D17B9">
      <w:pPr>
        <w:jc w:val="center"/>
        <w:rPr>
          <w:b/>
          <w:i/>
          <w:sz w:val="44"/>
          <w:szCs w:val="44"/>
        </w:rPr>
      </w:pPr>
      <w:r w:rsidRPr="00B4658B">
        <w:rPr>
          <w:b/>
          <w:i/>
          <w:sz w:val="44"/>
          <w:szCs w:val="44"/>
        </w:rPr>
        <w:t>FOR DISCUSSION AT AREA MEETINGS ON OCTOBER 13-14, 2017</w:t>
      </w:r>
    </w:p>
    <w:p w14:paraId="31CD0C4E" w14:textId="77777777" w:rsidR="009D17B9" w:rsidRDefault="009D17B9"/>
    <w:p w14:paraId="225DEAF9" w14:textId="77777777" w:rsidR="009D17B9" w:rsidRDefault="009D17B9"/>
    <w:p w14:paraId="02AFC759" w14:textId="77777777" w:rsidR="00B4658B" w:rsidRDefault="00B4658B"/>
    <w:p w14:paraId="2C7F5D80" w14:textId="77777777" w:rsidR="00B4658B" w:rsidRDefault="00B4658B"/>
    <w:p w14:paraId="700AD454" w14:textId="5C4C3BF0" w:rsidR="00BF12BC" w:rsidRPr="008A6887" w:rsidRDefault="003F654F">
      <w:pPr>
        <w:rPr>
          <w:i/>
          <w:sz w:val="32"/>
          <w:szCs w:val="32"/>
        </w:rPr>
      </w:pPr>
      <w:r w:rsidRPr="008A6887">
        <w:rPr>
          <w:i/>
          <w:sz w:val="32"/>
          <w:szCs w:val="32"/>
        </w:rPr>
        <w:t>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the Plenary Session on November 4, 2017.</w:t>
      </w:r>
    </w:p>
    <w:p w14:paraId="389C393A" w14:textId="77777777" w:rsidR="003F654F" w:rsidRDefault="003F654F"/>
    <w:p w14:paraId="2D32CBE0" w14:textId="77777777" w:rsidR="00B4658B" w:rsidRDefault="00B4658B"/>
    <w:p w14:paraId="73A4462B" w14:textId="77777777" w:rsidR="003F654F" w:rsidRDefault="003F654F"/>
    <w:p w14:paraId="0024D39D" w14:textId="0A1BB4FC" w:rsidR="003F654F" w:rsidRPr="00CF3964" w:rsidRDefault="003F654F" w:rsidP="00CF3964">
      <w:pPr>
        <w:jc w:val="center"/>
        <w:rPr>
          <w:u w:val="single"/>
        </w:rPr>
      </w:pPr>
      <w:r w:rsidRPr="00CF3964">
        <w:rPr>
          <w:u w:val="single"/>
        </w:rPr>
        <w:t>Resolutions Committee 2017-18</w:t>
      </w:r>
    </w:p>
    <w:p w14:paraId="6B14700E" w14:textId="2CED219B" w:rsidR="003F654F" w:rsidRDefault="003F654F" w:rsidP="00CF3964">
      <w:pPr>
        <w:jc w:val="center"/>
      </w:pPr>
      <w:r>
        <w:t>Ginni May, ASCCC Area A Representative (Chair)</w:t>
      </w:r>
    </w:p>
    <w:p w14:paraId="63FAF09A" w14:textId="48FC6D1D" w:rsidR="003F654F" w:rsidRDefault="003F654F" w:rsidP="00CF3964">
      <w:pPr>
        <w:jc w:val="center"/>
      </w:pPr>
      <w:r>
        <w:t>Rebecca Eikey, ASCCC Area C Representative</w:t>
      </w:r>
    </w:p>
    <w:p w14:paraId="202F1319" w14:textId="0EAAC7E4" w:rsidR="003F654F" w:rsidRDefault="00B8385E" w:rsidP="00CF3964">
      <w:pPr>
        <w:jc w:val="center"/>
      </w:pPr>
      <w:r>
        <w:t>Carrie</w:t>
      </w:r>
      <w:r w:rsidR="003F654F">
        <w:t xml:space="preserve"> Roberson, </w:t>
      </w:r>
      <w:r w:rsidR="00487408">
        <w:t xml:space="preserve">ASCCC </w:t>
      </w:r>
      <w:r w:rsidR="003F654F">
        <w:t>North Representative</w:t>
      </w:r>
    </w:p>
    <w:p w14:paraId="6E0EF25C" w14:textId="77777777" w:rsidR="00C35B48" w:rsidRDefault="00C35B48" w:rsidP="00C35B48">
      <w:pPr>
        <w:jc w:val="center"/>
      </w:pPr>
      <w:r>
        <w:t>Geoffrey Dyer, Taft College, Area A</w:t>
      </w:r>
    </w:p>
    <w:p w14:paraId="4E749CD8" w14:textId="77777777" w:rsidR="00C35B48" w:rsidRDefault="00C35B48" w:rsidP="00C35B48">
      <w:pPr>
        <w:jc w:val="center"/>
      </w:pPr>
      <w:r>
        <w:t>Leigh Anne Shaw, Skyline College, Area B</w:t>
      </w:r>
    </w:p>
    <w:p w14:paraId="6AB1FA2F" w14:textId="48C33CC9" w:rsidR="00C35B48" w:rsidRDefault="00381988" w:rsidP="00C35B48">
      <w:pPr>
        <w:jc w:val="center"/>
      </w:pPr>
      <w:r>
        <w:t>Michael Dighera</w:t>
      </w:r>
      <w:r w:rsidR="00DA2035">
        <w:t>, Rio Hondo</w:t>
      </w:r>
      <w:r w:rsidR="00487408">
        <w:t xml:space="preserve"> College,</w:t>
      </w:r>
      <w:r w:rsidR="00C35B48">
        <w:t xml:space="preserve"> Area C</w:t>
      </w:r>
    </w:p>
    <w:p w14:paraId="48D7D69C" w14:textId="77777777" w:rsidR="00C35B48" w:rsidRDefault="00C35B48" w:rsidP="00C35B48">
      <w:pPr>
        <w:jc w:val="center"/>
      </w:pPr>
      <w:r>
        <w:t>Donna Greene, College of the Desert, Area D</w:t>
      </w:r>
    </w:p>
    <w:p w14:paraId="4B8F6B76" w14:textId="48F17962" w:rsidR="00FE2FCA" w:rsidRDefault="00FE2FCA">
      <w:r>
        <w:br w:type="page"/>
      </w:r>
    </w:p>
    <w:p w14:paraId="3455F080" w14:textId="77777777" w:rsidR="00811182" w:rsidRDefault="00811182" w:rsidP="00EF1534">
      <w:pPr>
        <w:jc w:val="center"/>
        <w:sectPr w:rsidR="00811182" w:rsidSect="00811182">
          <w:footerReference w:type="even" r:id="rId10"/>
          <w:pgSz w:w="12240" w:h="15840"/>
          <w:pgMar w:top="1440" w:right="1800" w:bottom="1440" w:left="1800" w:header="720" w:footer="720" w:gutter="0"/>
          <w:pgNumType w:fmt="lowerRoman" w:start="1"/>
          <w:cols w:space="720"/>
          <w:docGrid w:linePitch="360"/>
        </w:sectPr>
      </w:pPr>
    </w:p>
    <w:p w14:paraId="72CA9105" w14:textId="44A97763" w:rsidR="00B4658B" w:rsidRDefault="00FF3782" w:rsidP="00EF1534">
      <w:pPr>
        <w:jc w:val="center"/>
      </w:pPr>
      <w:r>
        <w:lastRenderedPageBreak/>
        <w:t>RESOLUTIONS PROCESS</w:t>
      </w:r>
    </w:p>
    <w:p w14:paraId="232570E6" w14:textId="77777777" w:rsidR="00FF3782" w:rsidRDefault="00FF3782"/>
    <w:p w14:paraId="4953E04F" w14:textId="7AB97714" w:rsidR="00FF3782" w:rsidRDefault="00FF3782">
      <w:r>
        <w:t>In order to ensure that deliberations are organized, effective, and meaningful, the Academic Senate uses the following resolution procedure:</w:t>
      </w:r>
    </w:p>
    <w:p w14:paraId="1DB9C4A4" w14:textId="77777777" w:rsidR="00FF3782" w:rsidRDefault="00FF3782"/>
    <w:p w14:paraId="1543EE3A" w14:textId="7CE84B41" w:rsidR="00DE4725" w:rsidRDefault="00DE4725" w:rsidP="00DE4725">
      <w:pPr>
        <w:pStyle w:val="ListParagraph"/>
        <w:numPr>
          <w:ilvl w:val="0"/>
          <w:numId w:val="1"/>
        </w:numPr>
      </w:pPr>
      <w:r>
        <w:t>Pre-session resolutions are developed by the Executive Committee (</w:t>
      </w:r>
      <w:r w:rsidR="004F0356">
        <w:t>through its committees) and submitted to the pre-session Area Meetings for review.</w:t>
      </w:r>
    </w:p>
    <w:p w14:paraId="1E95E716" w14:textId="5A4723C6" w:rsidR="004F0356" w:rsidRDefault="004F0356" w:rsidP="00DE4725">
      <w:pPr>
        <w:pStyle w:val="ListParagraph"/>
        <w:numPr>
          <w:ilvl w:val="0"/>
          <w:numId w:val="1"/>
        </w:numPr>
      </w:pPr>
      <w:r>
        <w:t>Amendments and new pre-session resolutions are generated in the Area Meetings.</w:t>
      </w:r>
    </w:p>
    <w:p w14:paraId="769C03B5" w14:textId="5F868EDB" w:rsidR="004F0356" w:rsidRDefault="00652F2F" w:rsidP="00DE4725">
      <w:pPr>
        <w:pStyle w:val="ListParagraph"/>
        <w:numPr>
          <w:ilvl w:val="0"/>
          <w:numId w:val="1"/>
        </w:numPr>
      </w:pPr>
      <w:r>
        <w:t>The Resolutions Committee meets to review all pre-session resolutions and combine, re-word, append, or render moot these resolutions as necessary.</w:t>
      </w:r>
    </w:p>
    <w:p w14:paraId="10567300" w14:textId="62E9280A" w:rsidR="00652F2F" w:rsidRDefault="001F3F89" w:rsidP="00DE4725">
      <w:pPr>
        <w:pStyle w:val="ListParagraph"/>
        <w:numPr>
          <w:ilvl w:val="0"/>
          <w:numId w:val="1"/>
        </w:numPr>
      </w:pPr>
      <w:r>
        <w:t>Members of the Senate meet during the session in topic breakouts and give thoughtful consideration to the need for new resolutions and/or amendments.</w:t>
      </w:r>
    </w:p>
    <w:p w14:paraId="25B20464" w14:textId="427B791C" w:rsidR="001F3F89" w:rsidRDefault="001F3F89" w:rsidP="00DE4725">
      <w:pPr>
        <w:pStyle w:val="ListParagraph"/>
        <w:numPr>
          <w:ilvl w:val="0"/>
          <w:numId w:val="1"/>
        </w:numPr>
      </w:pPr>
      <w:r>
        <w:t xml:space="preserve">After </w:t>
      </w:r>
      <w:r w:rsidRPr="00F1404C">
        <w:t>all</w:t>
      </w:r>
      <w:r>
        <w:t xml:space="preserve"> Session presentations are finished each day, members meet during the resolutions break</w:t>
      </w:r>
      <w:r w:rsidR="00061624">
        <w:t>outs to discuss the need</w:t>
      </w:r>
      <w:r>
        <w:t xml:space="preserve"> for new resolutions and/or amendments.</w:t>
      </w:r>
      <w:r w:rsidR="00061624">
        <w:t xml:space="preserve"> Each resolution or amendment must be submitted to the Resolutions Chair before the posted deadlines each day. There are also Area meetings at the Session for discussing, writing, or amending resolutions.</w:t>
      </w:r>
    </w:p>
    <w:p w14:paraId="1468AAEE" w14:textId="14680549" w:rsidR="001F3F89" w:rsidRDefault="0088494D" w:rsidP="00DE4725">
      <w:pPr>
        <w:pStyle w:val="ListParagraph"/>
        <w:numPr>
          <w:ilvl w:val="0"/>
          <w:numId w:val="1"/>
        </w:numPr>
      </w:pPr>
      <w:r>
        <w:t>New resolutions submitted on the second day of session are held to the next session unless the resolution is declared urgent.</w:t>
      </w:r>
    </w:p>
    <w:p w14:paraId="4A7CE0FF" w14:textId="033B1696" w:rsidR="0088494D" w:rsidRDefault="0088494D" w:rsidP="00DE4725">
      <w:pPr>
        <w:pStyle w:val="ListParagraph"/>
        <w:numPr>
          <w:ilvl w:val="0"/>
          <w:numId w:val="1"/>
        </w:numPr>
      </w:pPr>
      <w:r>
        <w:t>The Resolutions Committee meets again to review all resolutions and amendments and to combine, re-word, append, or render moot the resolutions as necessary.</w:t>
      </w:r>
    </w:p>
    <w:p w14:paraId="0CDE29E0" w14:textId="0D0FACA7" w:rsidR="0088494D" w:rsidRDefault="0088494D" w:rsidP="00DE4725">
      <w:pPr>
        <w:pStyle w:val="ListParagraph"/>
        <w:numPr>
          <w:ilvl w:val="0"/>
          <w:numId w:val="1"/>
        </w:numPr>
      </w:pPr>
      <w:r>
        <w:t>The resolutions re debated and voted upon in the general sessions on the last day of the Plenary Session.</w:t>
      </w:r>
    </w:p>
    <w:p w14:paraId="41F91E64" w14:textId="37768915" w:rsidR="0088494D" w:rsidRDefault="0088494D" w:rsidP="00DE4725">
      <w:pPr>
        <w:pStyle w:val="ListParagraph"/>
        <w:numPr>
          <w:ilvl w:val="0"/>
          <w:numId w:val="1"/>
        </w:numPr>
      </w:pPr>
      <w:r>
        <w:t>All appendices are available on the ASCCC website.</w:t>
      </w:r>
    </w:p>
    <w:p w14:paraId="2D5F2E0E" w14:textId="77777777" w:rsidR="0088494D" w:rsidRDefault="0088494D" w:rsidP="0088494D"/>
    <w:p w14:paraId="495DD590" w14:textId="15AD2C1E" w:rsidR="0088494D" w:rsidRDefault="0088494D" w:rsidP="0088494D">
      <w:r>
        <w:t>Prior to plenary session, it is each attendee’s responsibility to read t</w:t>
      </w:r>
      <w:r w:rsidR="004637EA">
        <w:t>he following documents</w:t>
      </w:r>
      <w:r>
        <w:t>:</w:t>
      </w:r>
    </w:p>
    <w:p w14:paraId="798E249D" w14:textId="77777777" w:rsidR="0088494D" w:rsidRDefault="0088494D" w:rsidP="0088494D"/>
    <w:p w14:paraId="1DB36604" w14:textId="5DE46C64" w:rsidR="0088494D" w:rsidRDefault="0088494D" w:rsidP="0088494D">
      <w:pPr>
        <w:pStyle w:val="ListParagraph"/>
        <w:numPr>
          <w:ilvl w:val="0"/>
          <w:numId w:val="2"/>
        </w:numPr>
      </w:pPr>
      <w:r>
        <w:t>Senate Delegate Roles and Responsibilities</w:t>
      </w:r>
      <w:r w:rsidR="00E6292D">
        <w:t xml:space="preserve"> (link in Local Senates Handbook or click </w:t>
      </w:r>
      <w:hyperlink r:id="rId11" w:history="1">
        <w:r w:rsidR="00E6292D" w:rsidRPr="00E6292D">
          <w:rPr>
            <w:rStyle w:val="Hyperlink"/>
          </w:rPr>
          <w:t>here</w:t>
        </w:r>
      </w:hyperlink>
      <w:r w:rsidR="00E6292D">
        <w:t>)</w:t>
      </w:r>
    </w:p>
    <w:p w14:paraId="045389FA" w14:textId="2E12B2AC" w:rsidR="0088494D" w:rsidRDefault="0088494D" w:rsidP="0088494D">
      <w:pPr>
        <w:pStyle w:val="ListParagraph"/>
        <w:numPr>
          <w:ilvl w:val="0"/>
          <w:numId w:val="2"/>
        </w:numPr>
      </w:pPr>
      <w:r>
        <w:t>Resolution Procedures</w:t>
      </w:r>
      <w:r w:rsidR="004637EA">
        <w:t xml:space="preserve"> (</w:t>
      </w:r>
      <w:r w:rsidR="00E6292D">
        <w:t xml:space="preserve">Part II in </w:t>
      </w:r>
      <w:r w:rsidR="004637EA">
        <w:t>Resolutions Handbook)</w:t>
      </w:r>
    </w:p>
    <w:p w14:paraId="353DDFD2" w14:textId="1E5D3831" w:rsidR="0088494D" w:rsidRDefault="0088494D" w:rsidP="0088494D">
      <w:pPr>
        <w:pStyle w:val="ListParagraph"/>
        <w:numPr>
          <w:ilvl w:val="0"/>
          <w:numId w:val="2"/>
        </w:numPr>
      </w:pPr>
      <w:r>
        <w:t>Resolution Writing and General Advice</w:t>
      </w:r>
      <w:r w:rsidR="004637EA">
        <w:t xml:space="preserve"> (</w:t>
      </w:r>
      <w:r w:rsidR="00E6292D">
        <w:t xml:space="preserve">Part III in </w:t>
      </w:r>
      <w:r w:rsidR="004637EA">
        <w:t>Resolutions Handbook)</w:t>
      </w:r>
    </w:p>
    <w:p w14:paraId="67E8432E" w14:textId="77777777" w:rsidR="0088494D" w:rsidRDefault="0088494D" w:rsidP="0088494D"/>
    <w:p w14:paraId="14F59E19" w14:textId="67A524A9" w:rsidR="0088494D" w:rsidRDefault="0088494D" w:rsidP="0088494D">
      <w:r>
        <w:t>New delegates are strongly encouraged to attend the New Delegate Orientation on Thursday morning prior to the first breakout session.</w:t>
      </w:r>
    </w:p>
    <w:p w14:paraId="43158810" w14:textId="2C11A3AF" w:rsidR="00D11AFB" w:rsidRDefault="00D11AFB">
      <w:r>
        <w:br w:type="page"/>
      </w:r>
    </w:p>
    <w:p w14:paraId="3BC12A32" w14:textId="51585F1D" w:rsidR="00D11AFB" w:rsidRDefault="00D11AFB" w:rsidP="00804E83">
      <w:pPr>
        <w:jc w:val="center"/>
      </w:pPr>
      <w:r>
        <w:t>CONSENT CALENDAR</w:t>
      </w:r>
    </w:p>
    <w:p w14:paraId="7C7C8DC9" w14:textId="77777777" w:rsidR="00D11AFB" w:rsidRDefault="00D11AFB" w:rsidP="0088494D"/>
    <w:p w14:paraId="4645C88E" w14:textId="34979E6A" w:rsidR="00D11AFB" w:rsidRDefault="00D11AFB" w:rsidP="0088494D">
      <w:r>
        <w:t>The resolutions that have been placed on the Consent Calendar 1) were bel</w:t>
      </w:r>
      <w:r w:rsidR="00804E83">
        <w:t>ieved to be noncontroversial, 2)</w:t>
      </w:r>
      <w:r>
        <w:t xml:space="preserve"> do not potentia</w:t>
      </w:r>
      <w:r w:rsidR="00804E83">
        <w:t>lly reverse a previous position,</w:t>
      </w:r>
      <w:r>
        <w:t xml:space="preserve"> and 3) do not compete with anot</w:t>
      </w:r>
      <w:r w:rsidR="00804E83">
        <w:t>her proposed resolution. Resolut</w:t>
      </w:r>
      <w:r>
        <w:t xml:space="preserve">ions that meet these </w:t>
      </w:r>
      <w:r w:rsidR="00804E83">
        <w:t xml:space="preserve">criteria and any subsequent clarifying amendments have been included on the Consent Calendar. To remove a resolution from the Consent Calendar, please see the Consent Calendar section of the </w:t>
      </w:r>
      <w:r w:rsidR="00804E83" w:rsidRPr="00804E83">
        <w:rPr>
          <w:i/>
        </w:rPr>
        <w:t>Resolutions Procedures for the Plenary Session</w:t>
      </w:r>
      <w:r w:rsidR="00804E83">
        <w:t>.</w:t>
      </w:r>
    </w:p>
    <w:p w14:paraId="127BDB45" w14:textId="77777777" w:rsidR="00804E83" w:rsidRDefault="00804E83" w:rsidP="0088494D"/>
    <w:p w14:paraId="37A512C3" w14:textId="3509307F" w:rsidR="00804E83" w:rsidRDefault="00804E83" w:rsidP="0088494D">
      <w:r>
        <w:t>Consent Calendar resolutions and amendments are marked with an *.</w:t>
      </w:r>
    </w:p>
    <w:p w14:paraId="4B486C25" w14:textId="187E67C6" w:rsidR="003168A5" w:rsidRDefault="003168A5" w:rsidP="0088494D">
      <w:r>
        <w:t>Resolutions</w:t>
      </w:r>
      <w:r w:rsidR="005062B3">
        <w:t xml:space="preserve"> and amendments submitted on Thursday</w:t>
      </w:r>
      <w:r>
        <w:t xml:space="preserve"> are marked with a +.</w:t>
      </w:r>
    </w:p>
    <w:p w14:paraId="7C175785" w14:textId="28DC555A" w:rsidR="003168A5" w:rsidRDefault="003168A5" w:rsidP="0088494D">
      <w:r>
        <w:t>Resolutions</w:t>
      </w:r>
      <w:r w:rsidR="005062B3">
        <w:t xml:space="preserve"> and amendments submitted on Friday</w:t>
      </w:r>
      <w:r>
        <w:t xml:space="preserve"> are marked with a #.</w:t>
      </w:r>
    </w:p>
    <w:p w14:paraId="60D5EFA9" w14:textId="77777777" w:rsidR="003168A5" w:rsidRDefault="003168A5" w:rsidP="0088494D"/>
    <w:p w14:paraId="15D36C22" w14:textId="77777777" w:rsidR="00000733" w:rsidRPr="009B257F" w:rsidRDefault="00000733" w:rsidP="009B257F">
      <w:r w:rsidRPr="009B257F">
        <w:t>*1.01</w:t>
      </w:r>
      <w:r w:rsidRPr="009B257F">
        <w:tab/>
        <w:t>F17</w:t>
      </w:r>
      <w:r w:rsidRPr="009B257F">
        <w:tab/>
        <w:t>Emeritus Status for Paul Setziol</w:t>
      </w:r>
    </w:p>
    <w:p w14:paraId="622805B2" w14:textId="77777777" w:rsidR="00000733" w:rsidRPr="009B257F" w:rsidRDefault="00000733" w:rsidP="009B257F">
      <w:r w:rsidRPr="009B257F">
        <w:t>*3.01</w:t>
      </w:r>
      <w:r w:rsidRPr="009B257F">
        <w:tab/>
        <w:t>F17</w:t>
      </w:r>
      <w:r w:rsidRPr="009B257F">
        <w:tab/>
        <w:t xml:space="preserve">Support for DACA Students </w:t>
      </w:r>
    </w:p>
    <w:p w14:paraId="30542C54" w14:textId="77777777" w:rsidR="00000733" w:rsidRPr="009B257F" w:rsidRDefault="00000733" w:rsidP="009B257F">
      <w:r w:rsidRPr="009B257F">
        <w:t>*4.01</w:t>
      </w:r>
      <w:r w:rsidRPr="009B257F">
        <w:tab/>
        <w:t>F17</w:t>
      </w:r>
      <w:r w:rsidRPr="009B257F">
        <w:tab/>
        <w:t>Support Students Transferring to UC, CSU, and Private and Out-of-State Institutions</w:t>
      </w:r>
    </w:p>
    <w:p w14:paraId="2B7DE6E3" w14:textId="77777777" w:rsidR="009B257F" w:rsidRPr="009B257F" w:rsidRDefault="009B257F" w:rsidP="009B257F">
      <w:r w:rsidRPr="009B257F">
        <w:t>*7.01</w:t>
      </w:r>
      <w:r w:rsidRPr="009B257F">
        <w:tab/>
        <w:t>F17</w:t>
      </w:r>
      <w:r w:rsidRPr="009B257F">
        <w:tab/>
        <w:t>Creating Guidelines for Veteran Resource Centers</w:t>
      </w:r>
    </w:p>
    <w:p w14:paraId="15A53AAF" w14:textId="77777777" w:rsidR="009B257F" w:rsidRPr="009B257F" w:rsidRDefault="009B257F" w:rsidP="009B257F">
      <w:r w:rsidRPr="009B257F">
        <w:t>*7.02</w:t>
      </w:r>
      <w:r w:rsidRPr="009B257F">
        <w:tab/>
        <w:t>F17</w:t>
      </w:r>
      <w:r w:rsidRPr="009B257F">
        <w:tab/>
        <w:t>Identify and Remove Barriers to Offering Noncredit Distance Education Courses</w:t>
      </w:r>
    </w:p>
    <w:p w14:paraId="031AE2CD" w14:textId="77777777" w:rsidR="009B257F" w:rsidRPr="009B257F" w:rsidRDefault="009B257F" w:rsidP="009B257F">
      <w:r w:rsidRPr="009B257F">
        <w:t>*9.01</w:t>
      </w:r>
      <w:r w:rsidRPr="009B257F">
        <w:tab/>
        <w:t>F17</w:t>
      </w:r>
      <w:r w:rsidRPr="009B257F">
        <w:tab/>
        <w:t>College Autonomy and Faculty Purview for Determining Meta Majors or Areas of Focus</w:t>
      </w:r>
    </w:p>
    <w:p w14:paraId="19E0B6DE" w14:textId="77777777" w:rsidR="009B257F" w:rsidRPr="009B257F" w:rsidRDefault="009B257F" w:rsidP="009B257F">
      <w:r w:rsidRPr="009B257F">
        <w:t>*10.01</w:t>
      </w:r>
      <w:r w:rsidRPr="009B257F">
        <w:tab/>
        <w:t>F17</w:t>
      </w:r>
      <w:r w:rsidRPr="009B257F">
        <w:tab/>
        <w:t>Revise the Minimum Qualifications for Credit Apprenticeship Faculty</w:t>
      </w:r>
    </w:p>
    <w:p w14:paraId="53AE89C4" w14:textId="77777777" w:rsidR="009B257F" w:rsidRPr="009B257F" w:rsidRDefault="009B257F" w:rsidP="009B257F">
      <w:r w:rsidRPr="009B257F">
        <w:t>*10.02</w:t>
      </w:r>
      <w:r w:rsidRPr="009B257F">
        <w:tab/>
        <w:t>F17</w:t>
      </w:r>
      <w:r w:rsidRPr="009B257F">
        <w:tab/>
        <w:t>Dialog and Collaboration on Apprenticeship Faculty Minimum Qualifications</w:t>
      </w:r>
    </w:p>
    <w:p w14:paraId="0326A7E4" w14:textId="77777777" w:rsidR="009B257F" w:rsidRPr="009B257F" w:rsidRDefault="009B257F" w:rsidP="009B257F">
      <w:r w:rsidRPr="009B257F">
        <w:t>*13.01</w:t>
      </w:r>
      <w:r w:rsidRPr="009B257F">
        <w:tab/>
        <w:t>F17</w:t>
      </w:r>
      <w:r w:rsidRPr="009B257F">
        <w:tab/>
        <w:t>Recognition of Course Sections with Low-Cost Text Options</w:t>
      </w:r>
    </w:p>
    <w:p w14:paraId="08B209CD" w14:textId="77777777" w:rsidR="009B257F" w:rsidRPr="009B257F" w:rsidRDefault="009B257F" w:rsidP="009B257F">
      <w:r w:rsidRPr="009B257F">
        <w:t>*14.01</w:t>
      </w:r>
      <w:r w:rsidRPr="009B257F">
        <w:tab/>
        <w:t>F17</w:t>
      </w:r>
      <w:r w:rsidRPr="009B257F">
        <w:tab/>
        <w:t>Allow Students to Repeat Substandard Grades at Other Regionally Accredited Institutions</w:t>
      </w:r>
    </w:p>
    <w:p w14:paraId="04A4778E" w14:textId="77777777" w:rsidR="009B257F" w:rsidRPr="009B257F" w:rsidRDefault="009B257F" w:rsidP="009B257F">
      <w:r w:rsidRPr="009B257F">
        <w:t>*15.01</w:t>
      </w:r>
      <w:r w:rsidRPr="009B257F">
        <w:tab/>
        <w:t>F17</w:t>
      </w:r>
      <w:r w:rsidRPr="009B257F">
        <w:tab/>
        <w:t>Aligning Transfer Pathways for the California State University and University of California Systems</w:t>
      </w:r>
    </w:p>
    <w:p w14:paraId="5C552D98" w14:textId="77777777" w:rsidR="009B257F" w:rsidRPr="009B257F" w:rsidRDefault="009B257F" w:rsidP="009B257F">
      <w:r w:rsidRPr="009B257F">
        <w:t>*17.01</w:t>
      </w:r>
      <w:r w:rsidRPr="009B257F">
        <w:tab/>
        <w:t>F17</w:t>
      </w:r>
      <w:r w:rsidRPr="009B257F">
        <w:tab/>
        <w:t>Faculty Involvement in Scheduling of Courses</w:t>
      </w:r>
    </w:p>
    <w:p w14:paraId="3780E648" w14:textId="77777777" w:rsidR="009B257F" w:rsidRPr="009B257F" w:rsidRDefault="009B257F" w:rsidP="009B257F">
      <w:r w:rsidRPr="009B257F">
        <w:t>*17.02</w:t>
      </w:r>
      <w:r w:rsidRPr="009B257F">
        <w:tab/>
        <w:t>F17</w:t>
      </w:r>
      <w:r w:rsidRPr="009B257F">
        <w:tab/>
        <w:t>Local Academic Senate Role in Developing and Implementing Guided Pathways Frameworks</w:t>
      </w:r>
    </w:p>
    <w:p w14:paraId="4D2EB31C" w14:textId="77777777" w:rsidR="009B257F" w:rsidRPr="009B257F" w:rsidRDefault="009B257F" w:rsidP="009B257F">
      <w:r w:rsidRPr="009B257F">
        <w:t>*17.03</w:t>
      </w:r>
      <w:r w:rsidRPr="009B257F">
        <w:tab/>
        <w:t>F17</w:t>
      </w:r>
      <w:r w:rsidRPr="009B257F">
        <w:tab/>
        <w:t>Application of Faculty Policies to Apprenticeship Instructors</w:t>
      </w:r>
    </w:p>
    <w:p w14:paraId="19C6C108" w14:textId="77777777" w:rsidR="009B257F" w:rsidRPr="009B257F" w:rsidRDefault="009B257F" w:rsidP="009B257F">
      <w:r w:rsidRPr="009B257F">
        <w:t>*17.04</w:t>
      </w:r>
      <w:r w:rsidRPr="009B257F">
        <w:tab/>
        <w:t>F17</w:t>
      </w:r>
      <w:r w:rsidRPr="009B257F">
        <w:tab/>
        <w:t>Local Senate Purview Over Placement of Apprenticeship Courses Within Disciplines</w:t>
      </w:r>
    </w:p>
    <w:p w14:paraId="2B2C6767" w14:textId="7EC91440" w:rsidR="000F7012" w:rsidRDefault="000F7012">
      <w:r>
        <w:br w:type="page"/>
      </w:r>
    </w:p>
    <w:p w14:paraId="101E6EC1" w14:textId="64870735" w:rsidR="000F7012" w:rsidRPr="0073073B" w:rsidRDefault="000F7012" w:rsidP="000F7012">
      <w:pPr>
        <w:jc w:val="center"/>
        <w:rPr>
          <w:b/>
          <w:sz w:val="28"/>
          <w:szCs w:val="28"/>
        </w:rPr>
      </w:pPr>
      <w:r w:rsidRPr="0073073B">
        <w:rPr>
          <w:b/>
          <w:sz w:val="28"/>
          <w:szCs w:val="28"/>
        </w:rPr>
        <w:t>TABLE OF CONTENTS</w:t>
      </w:r>
    </w:p>
    <w:p w14:paraId="7FFCB236" w14:textId="77777777" w:rsidR="0073073B" w:rsidRDefault="0073073B" w:rsidP="000F7012">
      <w:pPr>
        <w:jc w:val="center"/>
      </w:pPr>
    </w:p>
    <w:p w14:paraId="6C989B8B" w14:textId="77777777" w:rsidR="00FB2B6D" w:rsidRDefault="00FB2B6D">
      <w:pPr>
        <w:pStyle w:val="TOC1"/>
        <w:tabs>
          <w:tab w:val="left" w:pos="720"/>
          <w:tab w:val="right" w:leader="dot" w:pos="8630"/>
        </w:tabs>
        <w:rPr>
          <w:rFonts w:asciiTheme="minorHAnsi" w:eastAsiaTheme="minorEastAsia" w:hAnsiTheme="minorHAnsi"/>
          <w:b w:val="0"/>
          <w:bCs w:val="0"/>
          <w:noProof/>
        </w:rPr>
      </w:pPr>
      <w:r>
        <w:rPr>
          <w:bCs w:val="0"/>
          <w:szCs w:val="22"/>
        </w:rPr>
        <w:fldChar w:fldCharType="begin"/>
      </w:r>
      <w:r>
        <w:rPr>
          <w:bCs w:val="0"/>
          <w:szCs w:val="22"/>
        </w:rPr>
        <w:instrText xml:space="preserve"> TOC \o "1-2" \h \z </w:instrText>
      </w:r>
      <w:r>
        <w:rPr>
          <w:bCs w:val="0"/>
          <w:szCs w:val="22"/>
        </w:rPr>
        <w:fldChar w:fldCharType="separate"/>
      </w:r>
      <w:hyperlink w:anchor="_Toc494649689" w:history="1">
        <w:r w:rsidRPr="006615B9">
          <w:rPr>
            <w:rStyle w:val="Hyperlink"/>
            <w:noProof/>
          </w:rPr>
          <w:t>1.0</w:t>
        </w:r>
        <w:r>
          <w:rPr>
            <w:rFonts w:asciiTheme="minorHAnsi" w:eastAsiaTheme="minorEastAsia" w:hAnsiTheme="minorHAnsi"/>
            <w:b w:val="0"/>
            <w:bCs w:val="0"/>
            <w:noProof/>
          </w:rPr>
          <w:tab/>
        </w:r>
        <w:r w:rsidRPr="006615B9">
          <w:rPr>
            <w:rStyle w:val="Hyperlink"/>
            <w:noProof/>
          </w:rPr>
          <w:t>ACADEMIC SENATE</w:t>
        </w:r>
        <w:r>
          <w:rPr>
            <w:noProof/>
            <w:webHidden/>
          </w:rPr>
          <w:tab/>
        </w:r>
        <w:r>
          <w:rPr>
            <w:noProof/>
            <w:webHidden/>
          </w:rPr>
          <w:fldChar w:fldCharType="begin"/>
        </w:r>
        <w:r>
          <w:rPr>
            <w:noProof/>
            <w:webHidden/>
          </w:rPr>
          <w:instrText xml:space="preserve"> PAGEREF _Toc494649689 \h </w:instrText>
        </w:r>
        <w:r>
          <w:rPr>
            <w:noProof/>
            <w:webHidden/>
          </w:rPr>
        </w:r>
        <w:r>
          <w:rPr>
            <w:noProof/>
            <w:webHidden/>
          </w:rPr>
          <w:fldChar w:fldCharType="separate"/>
        </w:r>
        <w:r w:rsidR="001D6936">
          <w:rPr>
            <w:noProof/>
            <w:webHidden/>
          </w:rPr>
          <w:t>1</w:t>
        </w:r>
        <w:r>
          <w:rPr>
            <w:noProof/>
            <w:webHidden/>
          </w:rPr>
          <w:fldChar w:fldCharType="end"/>
        </w:r>
      </w:hyperlink>
    </w:p>
    <w:p w14:paraId="359404C1"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690" w:history="1">
        <w:r w:rsidR="00FB2B6D" w:rsidRPr="006615B9">
          <w:rPr>
            <w:rStyle w:val="Hyperlink"/>
            <w:noProof/>
          </w:rPr>
          <w:t>*1.01</w:t>
        </w:r>
        <w:r w:rsidR="00FB2B6D">
          <w:rPr>
            <w:rFonts w:asciiTheme="minorHAnsi" w:eastAsiaTheme="minorEastAsia" w:hAnsiTheme="minorHAnsi"/>
            <w:bCs w:val="0"/>
            <w:noProof/>
            <w:szCs w:val="24"/>
          </w:rPr>
          <w:tab/>
        </w:r>
        <w:r w:rsidR="00FB2B6D" w:rsidRPr="006615B9">
          <w:rPr>
            <w:rStyle w:val="Hyperlink"/>
            <w:noProof/>
          </w:rPr>
          <w:t>F17 Emeritus Status for Paul Setziol</w:t>
        </w:r>
        <w:r w:rsidR="00FB2B6D">
          <w:rPr>
            <w:noProof/>
            <w:webHidden/>
          </w:rPr>
          <w:tab/>
        </w:r>
        <w:r w:rsidR="00FB2B6D">
          <w:rPr>
            <w:noProof/>
            <w:webHidden/>
          </w:rPr>
          <w:fldChar w:fldCharType="begin"/>
        </w:r>
        <w:r w:rsidR="00FB2B6D">
          <w:rPr>
            <w:noProof/>
            <w:webHidden/>
          </w:rPr>
          <w:instrText xml:space="preserve"> PAGEREF _Toc494649690 \h </w:instrText>
        </w:r>
        <w:r w:rsidR="00FB2B6D">
          <w:rPr>
            <w:noProof/>
            <w:webHidden/>
          </w:rPr>
        </w:r>
        <w:r w:rsidR="00FB2B6D">
          <w:rPr>
            <w:noProof/>
            <w:webHidden/>
          </w:rPr>
          <w:fldChar w:fldCharType="separate"/>
        </w:r>
        <w:r w:rsidR="001D6936">
          <w:rPr>
            <w:noProof/>
            <w:webHidden/>
          </w:rPr>
          <w:t>1</w:t>
        </w:r>
        <w:r w:rsidR="00FB2B6D">
          <w:rPr>
            <w:noProof/>
            <w:webHidden/>
          </w:rPr>
          <w:fldChar w:fldCharType="end"/>
        </w:r>
      </w:hyperlink>
    </w:p>
    <w:p w14:paraId="0A873144" w14:textId="77777777" w:rsidR="00FB2B6D" w:rsidRDefault="003F225A">
      <w:pPr>
        <w:pStyle w:val="TOC1"/>
        <w:tabs>
          <w:tab w:val="left" w:pos="720"/>
          <w:tab w:val="right" w:leader="dot" w:pos="8630"/>
        </w:tabs>
        <w:rPr>
          <w:rFonts w:asciiTheme="minorHAnsi" w:eastAsiaTheme="minorEastAsia" w:hAnsiTheme="minorHAnsi"/>
          <w:b w:val="0"/>
          <w:bCs w:val="0"/>
          <w:noProof/>
        </w:rPr>
      </w:pPr>
      <w:hyperlink w:anchor="_Toc494649691" w:history="1">
        <w:r w:rsidR="00FB2B6D" w:rsidRPr="006615B9">
          <w:rPr>
            <w:rStyle w:val="Hyperlink"/>
            <w:noProof/>
          </w:rPr>
          <w:t>3.0</w:t>
        </w:r>
        <w:r w:rsidR="00FB2B6D">
          <w:rPr>
            <w:rFonts w:asciiTheme="minorHAnsi" w:eastAsiaTheme="minorEastAsia" w:hAnsiTheme="minorHAnsi"/>
            <w:b w:val="0"/>
            <w:bCs w:val="0"/>
            <w:noProof/>
          </w:rPr>
          <w:tab/>
        </w:r>
        <w:r w:rsidR="00FB2B6D" w:rsidRPr="006615B9">
          <w:rPr>
            <w:rStyle w:val="Hyperlink"/>
            <w:noProof/>
          </w:rPr>
          <w:t>DIVERSITY AND EQUITY</w:t>
        </w:r>
        <w:r w:rsidR="00FB2B6D">
          <w:rPr>
            <w:noProof/>
            <w:webHidden/>
          </w:rPr>
          <w:tab/>
        </w:r>
        <w:r w:rsidR="00FB2B6D">
          <w:rPr>
            <w:noProof/>
            <w:webHidden/>
          </w:rPr>
          <w:fldChar w:fldCharType="begin"/>
        </w:r>
        <w:r w:rsidR="00FB2B6D">
          <w:rPr>
            <w:noProof/>
            <w:webHidden/>
          </w:rPr>
          <w:instrText xml:space="preserve"> PAGEREF _Toc494649691 \h </w:instrText>
        </w:r>
        <w:r w:rsidR="00FB2B6D">
          <w:rPr>
            <w:noProof/>
            <w:webHidden/>
          </w:rPr>
        </w:r>
        <w:r w:rsidR="00FB2B6D">
          <w:rPr>
            <w:noProof/>
            <w:webHidden/>
          </w:rPr>
          <w:fldChar w:fldCharType="separate"/>
        </w:r>
        <w:r w:rsidR="001D6936">
          <w:rPr>
            <w:noProof/>
            <w:webHidden/>
          </w:rPr>
          <w:t>1</w:t>
        </w:r>
        <w:r w:rsidR="00FB2B6D">
          <w:rPr>
            <w:noProof/>
            <w:webHidden/>
          </w:rPr>
          <w:fldChar w:fldCharType="end"/>
        </w:r>
      </w:hyperlink>
    </w:p>
    <w:p w14:paraId="7F79A650"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692" w:history="1">
        <w:r w:rsidR="00FB2B6D" w:rsidRPr="006615B9">
          <w:rPr>
            <w:rStyle w:val="Hyperlink"/>
            <w:noProof/>
          </w:rPr>
          <w:t>*3.01</w:t>
        </w:r>
        <w:r w:rsidR="00FB2B6D">
          <w:rPr>
            <w:rFonts w:asciiTheme="minorHAnsi" w:eastAsiaTheme="minorEastAsia" w:hAnsiTheme="minorHAnsi"/>
            <w:bCs w:val="0"/>
            <w:noProof/>
            <w:szCs w:val="24"/>
          </w:rPr>
          <w:tab/>
        </w:r>
        <w:r w:rsidR="00FB2B6D" w:rsidRPr="006615B9">
          <w:rPr>
            <w:rStyle w:val="Hyperlink"/>
            <w:noProof/>
          </w:rPr>
          <w:t>F17 Support for DACA Students</w:t>
        </w:r>
        <w:r w:rsidR="00FB2B6D">
          <w:rPr>
            <w:noProof/>
            <w:webHidden/>
          </w:rPr>
          <w:tab/>
        </w:r>
        <w:r w:rsidR="00FB2B6D">
          <w:rPr>
            <w:noProof/>
            <w:webHidden/>
          </w:rPr>
          <w:fldChar w:fldCharType="begin"/>
        </w:r>
        <w:r w:rsidR="00FB2B6D">
          <w:rPr>
            <w:noProof/>
            <w:webHidden/>
          </w:rPr>
          <w:instrText xml:space="preserve"> PAGEREF _Toc494649692 \h </w:instrText>
        </w:r>
        <w:r w:rsidR="00FB2B6D">
          <w:rPr>
            <w:noProof/>
            <w:webHidden/>
          </w:rPr>
        </w:r>
        <w:r w:rsidR="00FB2B6D">
          <w:rPr>
            <w:noProof/>
            <w:webHidden/>
          </w:rPr>
          <w:fldChar w:fldCharType="separate"/>
        </w:r>
        <w:r w:rsidR="001D6936">
          <w:rPr>
            <w:noProof/>
            <w:webHidden/>
          </w:rPr>
          <w:t>1</w:t>
        </w:r>
        <w:r w:rsidR="00FB2B6D">
          <w:rPr>
            <w:noProof/>
            <w:webHidden/>
          </w:rPr>
          <w:fldChar w:fldCharType="end"/>
        </w:r>
      </w:hyperlink>
    </w:p>
    <w:p w14:paraId="78EE3622" w14:textId="77777777" w:rsidR="00FB2B6D" w:rsidRDefault="003F225A">
      <w:pPr>
        <w:pStyle w:val="TOC1"/>
        <w:tabs>
          <w:tab w:val="left" w:pos="720"/>
          <w:tab w:val="right" w:leader="dot" w:pos="8630"/>
        </w:tabs>
        <w:rPr>
          <w:rFonts w:asciiTheme="minorHAnsi" w:eastAsiaTheme="minorEastAsia" w:hAnsiTheme="minorHAnsi"/>
          <w:b w:val="0"/>
          <w:bCs w:val="0"/>
          <w:noProof/>
        </w:rPr>
      </w:pPr>
      <w:hyperlink w:anchor="_Toc494649693" w:history="1">
        <w:r w:rsidR="00FB2B6D" w:rsidRPr="006615B9">
          <w:rPr>
            <w:rStyle w:val="Hyperlink"/>
            <w:noProof/>
          </w:rPr>
          <w:t xml:space="preserve">4.0 </w:t>
        </w:r>
        <w:r w:rsidR="00FB2B6D">
          <w:rPr>
            <w:rFonts w:asciiTheme="minorHAnsi" w:eastAsiaTheme="minorEastAsia" w:hAnsiTheme="minorHAnsi"/>
            <w:b w:val="0"/>
            <w:bCs w:val="0"/>
            <w:noProof/>
          </w:rPr>
          <w:tab/>
        </w:r>
        <w:r w:rsidR="00FB2B6D" w:rsidRPr="006615B9">
          <w:rPr>
            <w:rStyle w:val="Hyperlink"/>
            <w:noProof/>
          </w:rPr>
          <w:t>ARTICULATION AND TRANSFER</w:t>
        </w:r>
        <w:r w:rsidR="00FB2B6D">
          <w:rPr>
            <w:noProof/>
            <w:webHidden/>
          </w:rPr>
          <w:tab/>
        </w:r>
        <w:r w:rsidR="00FB2B6D">
          <w:rPr>
            <w:noProof/>
            <w:webHidden/>
          </w:rPr>
          <w:fldChar w:fldCharType="begin"/>
        </w:r>
        <w:r w:rsidR="00FB2B6D">
          <w:rPr>
            <w:noProof/>
            <w:webHidden/>
          </w:rPr>
          <w:instrText xml:space="preserve"> PAGEREF _Toc494649693 \h </w:instrText>
        </w:r>
        <w:r w:rsidR="00FB2B6D">
          <w:rPr>
            <w:noProof/>
            <w:webHidden/>
          </w:rPr>
        </w:r>
        <w:r w:rsidR="00FB2B6D">
          <w:rPr>
            <w:noProof/>
            <w:webHidden/>
          </w:rPr>
          <w:fldChar w:fldCharType="separate"/>
        </w:r>
        <w:r w:rsidR="001D6936">
          <w:rPr>
            <w:noProof/>
            <w:webHidden/>
          </w:rPr>
          <w:t>2</w:t>
        </w:r>
        <w:r w:rsidR="00FB2B6D">
          <w:rPr>
            <w:noProof/>
            <w:webHidden/>
          </w:rPr>
          <w:fldChar w:fldCharType="end"/>
        </w:r>
      </w:hyperlink>
    </w:p>
    <w:p w14:paraId="659FA5EB"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694" w:history="1">
        <w:r w:rsidR="00FB2B6D" w:rsidRPr="006615B9">
          <w:rPr>
            <w:rStyle w:val="Hyperlink"/>
            <w:noProof/>
          </w:rPr>
          <w:t>*4.01</w:t>
        </w:r>
        <w:r w:rsidR="00FB2B6D">
          <w:rPr>
            <w:rFonts w:asciiTheme="minorHAnsi" w:eastAsiaTheme="minorEastAsia" w:hAnsiTheme="minorHAnsi"/>
            <w:bCs w:val="0"/>
            <w:noProof/>
            <w:szCs w:val="24"/>
          </w:rPr>
          <w:tab/>
        </w:r>
        <w:r w:rsidR="00FB2B6D" w:rsidRPr="006615B9">
          <w:rPr>
            <w:rStyle w:val="Hyperlink"/>
            <w:noProof/>
          </w:rPr>
          <w:t>F17 Support Students Transferring to UC, CSU, and Private and Out-of-State Institutions</w:t>
        </w:r>
        <w:r w:rsidR="00FB2B6D">
          <w:rPr>
            <w:noProof/>
            <w:webHidden/>
          </w:rPr>
          <w:tab/>
        </w:r>
        <w:r w:rsidR="00FB2B6D">
          <w:rPr>
            <w:noProof/>
            <w:webHidden/>
          </w:rPr>
          <w:fldChar w:fldCharType="begin"/>
        </w:r>
        <w:r w:rsidR="00FB2B6D">
          <w:rPr>
            <w:noProof/>
            <w:webHidden/>
          </w:rPr>
          <w:instrText xml:space="preserve"> PAGEREF _Toc494649694 \h </w:instrText>
        </w:r>
        <w:r w:rsidR="00FB2B6D">
          <w:rPr>
            <w:noProof/>
            <w:webHidden/>
          </w:rPr>
        </w:r>
        <w:r w:rsidR="00FB2B6D">
          <w:rPr>
            <w:noProof/>
            <w:webHidden/>
          </w:rPr>
          <w:fldChar w:fldCharType="separate"/>
        </w:r>
        <w:r w:rsidR="001D6936">
          <w:rPr>
            <w:noProof/>
            <w:webHidden/>
          </w:rPr>
          <w:t>2</w:t>
        </w:r>
        <w:r w:rsidR="00FB2B6D">
          <w:rPr>
            <w:noProof/>
            <w:webHidden/>
          </w:rPr>
          <w:fldChar w:fldCharType="end"/>
        </w:r>
      </w:hyperlink>
    </w:p>
    <w:p w14:paraId="38AD140B" w14:textId="77777777" w:rsidR="00FB2B6D" w:rsidRDefault="003F225A">
      <w:pPr>
        <w:pStyle w:val="TOC1"/>
        <w:tabs>
          <w:tab w:val="left" w:pos="720"/>
          <w:tab w:val="right" w:leader="dot" w:pos="8630"/>
        </w:tabs>
        <w:rPr>
          <w:rFonts w:asciiTheme="minorHAnsi" w:eastAsiaTheme="minorEastAsia" w:hAnsiTheme="minorHAnsi"/>
          <w:b w:val="0"/>
          <w:bCs w:val="0"/>
          <w:noProof/>
        </w:rPr>
      </w:pPr>
      <w:hyperlink w:anchor="_Toc494649695" w:history="1">
        <w:r w:rsidR="00FB2B6D" w:rsidRPr="006615B9">
          <w:rPr>
            <w:rStyle w:val="Hyperlink"/>
            <w:noProof/>
          </w:rPr>
          <w:t>7.0</w:t>
        </w:r>
        <w:r w:rsidR="00FB2B6D">
          <w:rPr>
            <w:rFonts w:asciiTheme="minorHAnsi" w:eastAsiaTheme="minorEastAsia" w:hAnsiTheme="minorHAnsi"/>
            <w:b w:val="0"/>
            <w:bCs w:val="0"/>
            <w:noProof/>
          </w:rPr>
          <w:tab/>
        </w:r>
        <w:r w:rsidR="00FB2B6D" w:rsidRPr="006615B9">
          <w:rPr>
            <w:rStyle w:val="Hyperlink"/>
            <w:noProof/>
          </w:rPr>
          <w:t>CONSULTATION WITH THE CHANCELLOR’S OFFICE</w:t>
        </w:r>
        <w:r w:rsidR="00FB2B6D">
          <w:rPr>
            <w:noProof/>
            <w:webHidden/>
          </w:rPr>
          <w:tab/>
        </w:r>
        <w:r w:rsidR="00FB2B6D">
          <w:rPr>
            <w:noProof/>
            <w:webHidden/>
          </w:rPr>
          <w:fldChar w:fldCharType="begin"/>
        </w:r>
        <w:r w:rsidR="00FB2B6D">
          <w:rPr>
            <w:noProof/>
            <w:webHidden/>
          </w:rPr>
          <w:instrText xml:space="preserve"> PAGEREF _Toc494649695 \h </w:instrText>
        </w:r>
        <w:r w:rsidR="00FB2B6D">
          <w:rPr>
            <w:noProof/>
            <w:webHidden/>
          </w:rPr>
        </w:r>
        <w:r w:rsidR="00FB2B6D">
          <w:rPr>
            <w:noProof/>
            <w:webHidden/>
          </w:rPr>
          <w:fldChar w:fldCharType="separate"/>
        </w:r>
        <w:r w:rsidR="001D6936">
          <w:rPr>
            <w:noProof/>
            <w:webHidden/>
          </w:rPr>
          <w:t>3</w:t>
        </w:r>
        <w:r w:rsidR="00FB2B6D">
          <w:rPr>
            <w:noProof/>
            <w:webHidden/>
          </w:rPr>
          <w:fldChar w:fldCharType="end"/>
        </w:r>
      </w:hyperlink>
    </w:p>
    <w:p w14:paraId="62E6C482"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696" w:history="1">
        <w:r w:rsidR="00FB2B6D" w:rsidRPr="006615B9">
          <w:rPr>
            <w:rStyle w:val="Hyperlink"/>
            <w:noProof/>
          </w:rPr>
          <w:t>*7.01</w:t>
        </w:r>
        <w:r w:rsidR="00FB2B6D">
          <w:rPr>
            <w:rFonts w:asciiTheme="minorHAnsi" w:eastAsiaTheme="minorEastAsia" w:hAnsiTheme="minorHAnsi"/>
            <w:bCs w:val="0"/>
            <w:noProof/>
            <w:szCs w:val="24"/>
          </w:rPr>
          <w:tab/>
        </w:r>
        <w:r w:rsidR="00FB2B6D" w:rsidRPr="006615B9">
          <w:rPr>
            <w:rStyle w:val="Hyperlink"/>
            <w:noProof/>
          </w:rPr>
          <w:t>F17 Creating Guidelines for Veteran Resource Centers</w:t>
        </w:r>
        <w:r w:rsidR="00FB2B6D">
          <w:rPr>
            <w:noProof/>
            <w:webHidden/>
          </w:rPr>
          <w:tab/>
        </w:r>
        <w:r w:rsidR="00FB2B6D">
          <w:rPr>
            <w:noProof/>
            <w:webHidden/>
          </w:rPr>
          <w:fldChar w:fldCharType="begin"/>
        </w:r>
        <w:r w:rsidR="00FB2B6D">
          <w:rPr>
            <w:noProof/>
            <w:webHidden/>
          </w:rPr>
          <w:instrText xml:space="preserve"> PAGEREF _Toc494649696 \h </w:instrText>
        </w:r>
        <w:r w:rsidR="00FB2B6D">
          <w:rPr>
            <w:noProof/>
            <w:webHidden/>
          </w:rPr>
        </w:r>
        <w:r w:rsidR="00FB2B6D">
          <w:rPr>
            <w:noProof/>
            <w:webHidden/>
          </w:rPr>
          <w:fldChar w:fldCharType="separate"/>
        </w:r>
        <w:r w:rsidR="001D6936">
          <w:rPr>
            <w:noProof/>
            <w:webHidden/>
          </w:rPr>
          <w:t>3</w:t>
        </w:r>
        <w:r w:rsidR="00FB2B6D">
          <w:rPr>
            <w:noProof/>
            <w:webHidden/>
          </w:rPr>
          <w:fldChar w:fldCharType="end"/>
        </w:r>
      </w:hyperlink>
    </w:p>
    <w:p w14:paraId="4A0D9940"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697" w:history="1">
        <w:r w:rsidR="00FB2B6D" w:rsidRPr="006615B9">
          <w:rPr>
            <w:rStyle w:val="Hyperlink"/>
            <w:noProof/>
          </w:rPr>
          <w:t>*7.02</w:t>
        </w:r>
        <w:r w:rsidR="00FB2B6D">
          <w:rPr>
            <w:rFonts w:asciiTheme="minorHAnsi" w:eastAsiaTheme="minorEastAsia" w:hAnsiTheme="minorHAnsi"/>
            <w:bCs w:val="0"/>
            <w:noProof/>
            <w:szCs w:val="24"/>
          </w:rPr>
          <w:tab/>
        </w:r>
        <w:r w:rsidR="00FB2B6D" w:rsidRPr="006615B9">
          <w:rPr>
            <w:rStyle w:val="Hyperlink"/>
            <w:noProof/>
          </w:rPr>
          <w:t>F17 Identify and Remove Barriers to Offering Noncredit Distance Education Courses……</w:t>
        </w:r>
        <w:r w:rsidR="00FB2B6D">
          <w:rPr>
            <w:noProof/>
            <w:webHidden/>
          </w:rPr>
          <w:tab/>
        </w:r>
        <w:r w:rsidR="00FB2B6D">
          <w:rPr>
            <w:noProof/>
            <w:webHidden/>
          </w:rPr>
          <w:fldChar w:fldCharType="begin"/>
        </w:r>
        <w:r w:rsidR="00FB2B6D">
          <w:rPr>
            <w:noProof/>
            <w:webHidden/>
          </w:rPr>
          <w:instrText xml:space="preserve"> PAGEREF _Toc494649697 \h </w:instrText>
        </w:r>
        <w:r w:rsidR="00FB2B6D">
          <w:rPr>
            <w:noProof/>
            <w:webHidden/>
          </w:rPr>
        </w:r>
        <w:r w:rsidR="00FB2B6D">
          <w:rPr>
            <w:noProof/>
            <w:webHidden/>
          </w:rPr>
          <w:fldChar w:fldCharType="separate"/>
        </w:r>
        <w:r w:rsidR="001D6936">
          <w:rPr>
            <w:noProof/>
            <w:webHidden/>
          </w:rPr>
          <w:t>4</w:t>
        </w:r>
        <w:r w:rsidR="00FB2B6D">
          <w:rPr>
            <w:noProof/>
            <w:webHidden/>
          </w:rPr>
          <w:fldChar w:fldCharType="end"/>
        </w:r>
      </w:hyperlink>
    </w:p>
    <w:p w14:paraId="06BD06EB" w14:textId="77777777" w:rsidR="00FB2B6D" w:rsidRDefault="003F225A">
      <w:pPr>
        <w:pStyle w:val="TOC1"/>
        <w:tabs>
          <w:tab w:val="left" w:pos="720"/>
          <w:tab w:val="right" w:leader="dot" w:pos="8630"/>
        </w:tabs>
        <w:rPr>
          <w:rFonts w:asciiTheme="minorHAnsi" w:eastAsiaTheme="minorEastAsia" w:hAnsiTheme="minorHAnsi"/>
          <w:b w:val="0"/>
          <w:bCs w:val="0"/>
          <w:noProof/>
        </w:rPr>
      </w:pPr>
      <w:hyperlink w:anchor="_Toc494649698" w:history="1">
        <w:r w:rsidR="00FB2B6D" w:rsidRPr="006615B9">
          <w:rPr>
            <w:rStyle w:val="Hyperlink"/>
            <w:noProof/>
          </w:rPr>
          <w:t>9.0</w:t>
        </w:r>
        <w:r w:rsidR="00FB2B6D">
          <w:rPr>
            <w:rFonts w:asciiTheme="minorHAnsi" w:eastAsiaTheme="minorEastAsia" w:hAnsiTheme="minorHAnsi"/>
            <w:b w:val="0"/>
            <w:bCs w:val="0"/>
            <w:noProof/>
          </w:rPr>
          <w:tab/>
        </w:r>
        <w:r w:rsidR="00FB2B6D" w:rsidRPr="006615B9">
          <w:rPr>
            <w:rStyle w:val="Hyperlink"/>
            <w:noProof/>
          </w:rPr>
          <w:t>CURRICULUM</w:t>
        </w:r>
        <w:r w:rsidR="00FB2B6D">
          <w:rPr>
            <w:noProof/>
            <w:webHidden/>
          </w:rPr>
          <w:tab/>
        </w:r>
        <w:r w:rsidR="00FB2B6D">
          <w:rPr>
            <w:noProof/>
            <w:webHidden/>
          </w:rPr>
          <w:fldChar w:fldCharType="begin"/>
        </w:r>
        <w:r w:rsidR="00FB2B6D">
          <w:rPr>
            <w:noProof/>
            <w:webHidden/>
          </w:rPr>
          <w:instrText xml:space="preserve"> PAGEREF _Toc494649698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1CBF109B"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699" w:history="1">
        <w:r w:rsidR="00FB2B6D" w:rsidRPr="006615B9">
          <w:rPr>
            <w:rStyle w:val="Hyperlink"/>
            <w:noProof/>
          </w:rPr>
          <w:t>*9.01</w:t>
        </w:r>
        <w:r w:rsidR="00FB2B6D">
          <w:rPr>
            <w:rFonts w:asciiTheme="minorHAnsi" w:eastAsiaTheme="minorEastAsia" w:hAnsiTheme="minorHAnsi"/>
            <w:bCs w:val="0"/>
            <w:noProof/>
            <w:szCs w:val="24"/>
          </w:rPr>
          <w:tab/>
        </w:r>
        <w:r w:rsidR="00FB2B6D" w:rsidRPr="006615B9">
          <w:rPr>
            <w:rStyle w:val="Hyperlink"/>
            <w:noProof/>
          </w:rPr>
          <w:t>F17 College Autonomy and Faculty Purview for Determining Meta Majors or Areas of Focus</w:t>
        </w:r>
        <w:r w:rsidR="00FB2B6D">
          <w:rPr>
            <w:noProof/>
            <w:webHidden/>
          </w:rPr>
          <w:tab/>
        </w:r>
        <w:r w:rsidR="00FB2B6D">
          <w:rPr>
            <w:noProof/>
            <w:webHidden/>
          </w:rPr>
          <w:fldChar w:fldCharType="begin"/>
        </w:r>
        <w:r w:rsidR="00FB2B6D">
          <w:rPr>
            <w:noProof/>
            <w:webHidden/>
          </w:rPr>
          <w:instrText xml:space="preserve"> PAGEREF _Toc494649699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68ECDCBA" w14:textId="77777777" w:rsidR="00FB2B6D" w:rsidRDefault="003F225A">
      <w:pPr>
        <w:pStyle w:val="TOC1"/>
        <w:tabs>
          <w:tab w:val="left" w:pos="720"/>
          <w:tab w:val="right" w:leader="dot" w:pos="8630"/>
        </w:tabs>
        <w:rPr>
          <w:rFonts w:asciiTheme="minorHAnsi" w:eastAsiaTheme="minorEastAsia" w:hAnsiTheme="minorHAnsi"/>
          <w:b w:val="0"/>
          <w:bCs w:val="0"/>
          <w:noProof/>
        </w:rPr>
      </w:pPr>
      <w:hyperlink w:anchor="_Toc494649700" w:history="1">
        <w:r w:rsidR="00FB2B6D" w:rsidRPr="006615B9">
          <w:rPr>
            <w:rStyle w:val="Hyperlink"/>
            <w:noProof/>
          </w:rPr>
          <w:t>10.0</w:t>
        </w:r>
        <w:r w:rsidR="00FB2B6D">
          <w:rPr>
            <w:rFonts w:asciiTheme="minorHAnsi" w:eastAsiaTheme="minorEastAsia" w:hAnsiTheme="minorHAnsi"/>
            <w:b w:val="0"/>
            <w:bCs w:val="0"/>
            <w:noProof/>
          </w:rPr>
          <w:tab/>
        </w:r>
        <w:r w:rsidR="00FB2B6D" w:rsidRPr="006615B9">
          <w:rPr>
            <w:rStyle w:val="Hyperlink"/>
            <w:noProof/>
          </w:rPr>
          <w:t>DISCIPLINES LIST</w:t>
        </w:r>
        <w:r w:rsidR="00FB2B6D">
          <w:rPr>
            <w:noProof/>
            <w:webHidden/>
          </w:rPr>
          <w:tab/>
        </w:r>
        <w:r w:rsidR="00FB2B6D">
          <w:rPr>
            <w:noProof/>
            <w:webHidden/>
          </w:rPr>
          <w:fldChar w:fldCharType="begin"/>
        </w:r>
        <w:r w:rsidR="00FB2B6D">
          <w:rPr>
            <w:noProof/>
            <w:webHidden/>
          </w:rPr>
          <w:instrText xml:space="preserve"> PAGEREF _Toc494649700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61DCC447"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701" w:history="1">
        <w:r w:rsidR="00FB2B6D" w:rsidRPr="006615B9">
          <w:rPr>
            <w:rStyle w:val="Hyperlink"/>
            <w:noProof/>
          </w:rPr>
          <w:t>*10.01</w:t>
        </w:r>
        <w:r w:rsidR="00FB2B6D">
          <w:rPr>
            <w:rFonts w:asciiTheme="minorHAnsi" w:eastAsiaTheme="minorEastAsia" w:hAnsiTheme="minorHAnsi"/>
            <w:bCs w:val="0"/>
            <w:noProof/>
            <w:szCs w:val="24"/>
          </w:rPr>
          <w:tab/>
        </w:r>
        <w:r w:rsidR="00FB2B6D" w:rsidRPr="006615B9">
          <w:rPr>
            <w:rStyle w:val="Hyperlink"/>
            <w:noProof/>
          </w:rPr>
          <w:t>F17 Revise the Minimum Qualifications for Credit Apprenticeship Faculty</w:t>
        </w:r>
        <w:r w:rsidR="00FB2B6D">
          <w:rPr>
            <w:noProof/>
            <w:webHidden/>
          </w:rPr>
          <w:tab/>
        </w:r>
        <w:r w:rsidR="00FB2B6D">
          <w:rPr>
            <w:noProof/>
            <w:webHidden/>
          </w:rPr>
          <w:fldChar w:fldCharType="begin"/>
        </w:r>
        <w:r w:rsidR="00FB2B6D">
          <w:rPr>
            <w:noProof/>
            <w:webHidden/>
          </w:rPr>
          <w:instrText xml:space="preserve"> PAGEREF _Toc494649701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6D62C988"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702" w:history="1">
        <w:r w:rsidR="00FB2B6D" w:rsidRPr="006615B9">
          <w:rPr>
            <w:rStyle w:val="Hyperlink"/>
            <w:noProof/>
          </w:rPr>
          <w:t>*10.02</w:t>
        </w:r>
        <w:r w:rsidR="00FB2B6D">
          <w:rPr>
            <w:rFonts w:asciiTheme="minorHAnsi" w:eastAsiaTheme="minorEastAsia" w:hAnsiTheme="minorHAnsi"/>
            <w:bCs w:val="0"/>
            <w:noProof/>
            <w:szCs w:val="24"/>
          </w:rPr>
          <w:tab/>
        </w:r>
        <w:r w:rsidR="00FB2B6D" w:rsidRPr="006615B9">
          <w:rPr>
            <w:rStyle w:val="Hyperlink"/>
            <w:noProof/>
          </w:rPr>
          <w:t>F17 Dialog and Collaboration on Apprenticeship Faculty Minimum Qualifications</w:t>
        </w:r>
        <w:r w:rsidR="00FB2B6D">
          <w:rPr>
            <w:noProof/>
            <w:webHidden/>
          </w:rPr>
          <w:tab/>
        </w:r>
        <w:r w:rsidR="00FB2B6D">
          <w:rPr>
            <w:noProof/>
            <w:webHidden/>
          </w:rPr>
          <w:fldChar w:fldCharType="begin"/>
        </w:r>
        <w:r w:rsidR="00FB2B6D">
          <w:rPr>
            <w:noProof/>
            <w:webHidden/>
          </w:rPr>
          <w:instrText xml:space="preserve"> PAGEREF _Toc494649702 \h </w:instrText>
        </w:r>
        <w:r w:rsidR="00FB2B6D">
          <w:rPr>
            <w:noProof/>
            <w:webHidden/>
          </w:rPr>
        </w:r>
        <w:r w:rsidR="00FB2B6D">
          <w:rPr>
            <w:noProof/>
            <w:webHidden/>
          </w:rPr>
          <w:fldChar w:fldCharType="separate"/>
        </w:r>
        <w:r w:rsidR="001D6936">
          <w:rPr>
            <w:noProof/>
            <w:webHidden/>
          </w:rPr>
          <w:t>6</w:t>
        </w:r>
        <w:r w:rsidR="00FB2B6D">
          <w:rPr>
            <w:noProof/>
            <w:webHidden/>
          </w:rPr>
          <w:fldChar w:fldCharType="end"/>
        </w:r>
      </w:hyperlink>
    </w:p>
    <w:p w14:paraId="01DA5C46" w14:textId="77777777" w:rsidR="00FB2B6D" w:rsidRDefault="003F225A">
      <w:pPr>
        <w:pStyle w:val="TOC1"/>
        <w:tabs>
          <w:tab w:val="left" w:pos="720"/>
          <w:tab w:val="right" w:leader="dot" w:pos="8630"/>
        </w:tabs>
        <w:rPr>
          <w:rFonts w:asciiTheme="minorHAnsi" w:eastAsiaTheme="minorEastAsia" w:hAnsiTheme="minorHAnsi"/>
          <w:b w:val="0"/>
          <w:bCs w:val="0"/>
          <w:noProof/>
        </w:rPr>
      </w:pPr>
      <w:hyperlink w:anchor="_Toc494649703" w:history="1">
        <w:r w:rsidR="00FB2B6D" w:rsidRPr="006615B9">
          <w:rPr>
            <w:rStyle w:val="Hyperlink"/>
            <w:noProof/>
          </w:rPr>
          <w:t>13.0</w:t>
        </w:r>
        <w:r w:rsidR="00FB2B6D">
          <w:rPr>
            <w:rFonts w:asciiTheme="minorHAnsi" w:eastAsiaTheme="minorEastAsia" w:hAnsiTheme="minorHAnsi"/>
            <w:b w:val="0"/>
            <w:bCs w:val="0"/>
            <w:noProof/>
          </w:rPr>
          <w:tab/>
        </w:r>
        <w:r w:rsidR="00FB2B6D" w:rsidRPr="006615B9">
          <w:rPr>
            <w:rStyle w:val="Hyperlink"/>
            <w:noProof/>
          </w:rPr>
          <w:t>GENERAL CONCERNS</w:t>
        </w:r>
        <w:r w:rsidR="00FB2B6D">
          <w:rPr>
            <w:noProof/>
            <w:webHidden/>
          </w:rPr>
          <w:tab/>
        </w:r>
        <w:r w:rsidR="00FB2B6D">
          <w:rPr>
            <w:noProof/>
            <w:webHidden/>
          </w:rPr>
          <w:fldChar w:fldCharType="begin"/>
        </w:r>
        <w:r w:rsidR="00FB2B6D">
          <w:rPr>
            <w:noProof/>
            <w:webHidden/>
          </w:rPr>
          <w:instrText xml:space="preserve"> PAGEREF _Toc494649703 \h </w:instrText>
        </w:r>
        <w:r w:rsidR="00FB2B6D">
          <w:rPr>
            <w:noProof/>
            <w:webHidden/>
          </w:rPr>
        </w:r>
        <w:r w:rsidR="00FB2B6D">
          <w:rPr>
            <w:noProof/>
            <w:webHidden/>
          </w:rPr>
          <w:fldChar w:fldCharType="separate"/>
        </w:r>
        <w:r w:rsidR="001D6936">
          <w:rPr>
            <w:noProof/>
            <w:webHidden/>
          </w:rPr>
          <w:t>7</w:t>
        </w:r>
        <w:r w:rsidR="00FB2B6D">
          <w:rPr>
            <w:noProof/>
            <w:webHidden/>
          </w:rPr>
          <w:fldChar w:fldCharType="end"/>
        </w:r>
      </w:hyperlink>
    </w:p>
    <w:p w14:paraId="31129244"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704" w:history="1">
        <w:r w:rsidR="00FB2B6D" w:rsidRPr="006615B9">
          <w:rPr>
            <w:rStyle w:val="Hyperlink"/>
            <w:noProof/>
          </w:rPr>
          <w:t>*13.01</w:t>
        </w:r>
        <w:r w:rsidR="00FB2B6D">
          <w:rPr>
            <w:rFonts w:asciiTheme="minorHAnsi" w:eastAsiaTheme="minorEastAsia" w:hAnsiTheme="minorHAnsi"/>
            <w:bCs w:val="0"/>
            <w:noProof/>
            <w:szCs w:val="24"/>
          </w:rPr>
          <w:tab/>
        </w:r>
        <w:r w:rsidR="00FB2B6D" w:rsidRPr="006615B9">
          <w:rPr>
            <w:rStyle w:val="Hyperlink"/>
            <w:noProof/>
          </w:rPr>
          <w:t>F17 Recognition of Course Sections with Low-Cost Text Options</w:t>
        </w:r>
        <w:r w:rsidR="00FB2B6D">
          <w:rPr>
            <w:noProof/>
            <w:webHidden/>
          </w:rPr>
          <w:tab/>
        </w:r>
        <w:r w:rsidR="00FB2B6D">
          <w:rPr>
            <w:noProof/>
            <w:webHidden/>
          </w:rPr>
          <w:fldChar w:fldCharType="begin"/>
        </w:r>
        <w:r w:rsidR="00FB2B6D">
          <w:rPr>
            <w:noProof/>
            <w:webHidden/>
          </w:rPr>
          <w:instrText xml:space="preserve"> PAGEREF _Toc494649704 \h </w:instrText>
        </w:r>
        <w:r w:rsidR="00FB2B6D">
          <w:rPr>
            <w:noProof/>
            <w:webHidden/>
          </w:rPr>
        </w:r>
        <w:r w:rsidR="00FB2B6D">
          <w:rPr>
            <w:noProof/>
            <w:webHidden/>
          </w:rPr>
          <w:fldChar w:fldCharType="separate"/>
        </w:r>
        <w:r w:rsidR="001D6936">
          <w:rPr>
            <w:noProof/>
            <w:webHidden/>
          </w:rPr>
          <w:t>7</w:t>
        </w:r>
        <w:r w:rsidR="00FB2B6D">
          <w:rPr>
            <w:noProof/>
            <w:webHidden/>
          </w:rPr>
          <w:fldChar w:fldCharType="end"/>
        </w:r>
      </w:hyperlink>
    </w:p>
    <w:p w14:paraId="30821452" w14:textId="77777777" w:rsidR="00FB2B6D" w:rsidRDefault="003F225A">
      <w:pPr>
        <w:pStyle w:val="TOC1"/>
        <w:tabs>
          <w:tab w:val="left" w:pos="720"/>
          <w:tab w:val="right" w:leader="dot" w:pos="8630"/>
        </w:tabs>
        <w:rPr>
          <w:rFonts w:asciiTheme="minorHAnsi" w:eastAsiaTheme="minorEastAsia" w:hAnsiTheme="minorHAnsi"/>
          <w:b w:val="0"/>
          <w:bCs w:val="0"/>
          <w:noProof/>
        </w:rPr>
      </w:pPr>
      <w:hyperlink w:anchor="_Toc494649705" w:history="1">
        <w:r w:rsidR="00FB2B6D" w:rsidRPr="006615B9">
          <w:rPr>
            <w:rStyle w:val="Hyperlink"/>
            <w:noProof/>
          </w:rPr>
          <w:t>14.0</w:t>
        </w:r>
        <w:r w:rsidR="00FB2B6D">
          <w:rPr>
            <w:rFonts w:asciiTheme="minorHAnsi" w:eastAsiaTheme="minorEastAsia" w:hAnsiTheme="minorHAnsi"/>
            <w:b w:val="0"/>
            <w:bCs w:val="0"/>
            <w:noProof/>
          </w:rPr>
          <w:tab/>
        </w:r>
        <w:r w:rsidR="00FB2B6D" w:rsidRPr="006615B9">
          <w:rPr>
            <w:rStyle w:val="Hyperlink"/>
            <w:noProof/>
          </w:rPr>
          <w:t>GRADING</w:t>
        </w:r>
        <w:r w:rsidR="00FB2B6D">
          <w:rPr>
            <w:noProof/>
            <w:webHidden/>
          </w:rPr>
          <w:tab/>
        </w:r>
        <w:r w:rsidR="00FB2B6D">
          <w:rPr>
            <w:noProof/>
            <w:webHidden/>
          </w:rPr>
          <w:fldChar w:fldCharType="begin"/>
        </w:r>
        <w:r w:rsidR="00FB2B6D">
          <w:rPr>
            <w:noProof/>
            <w:webHidden/>
          </w:rPr>
          <w:instrText xml:space="preserve"> PAGEREF _Toc494649705 \h </w:instrText>
        </w:r>
        <w:r w:rsidR="00FB2B6D">
          <w:rPr>
            <w:noProof/>
            <w:webHidden/>
          </w:rPr>
        </w:r>
        <w:r w:rsidR="00FB2B6D">
          <w:rPr>
            <w:noProof/>
            <w:webHidden/>
          </w:rPr>
          <w:fldChar w:fldCharType="separate"/>
        </w:r>
        <w:r w:rsidR="001D6936">
          <w:rPr>
            <w:noProof/>
            <w:webHidden/>
          </w:rPr>
          <w:t>8</w:t>
        </w:r>
        <w:r w:rsidR="00FB2B6D">
          <w:rPr>
            <w:noProof/>
            <w:webHidden/>
          </w:rPr>
          <w:fldChar w:fldCharType="end"/>
        </w:r>
      </w:hyperlink>
    </w:p>
    <w:p w14:paraId="09526190"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706" w:history="1">
        <w:r w:rsidR="00FB2B6D" w:rsidRPr="006615B9">
          <w:rPr>
            <w:rStyle w:val="Hyperlink"/>
            <w:noProof/>
          </w:rPr>
          <w:t>*14.01</w:t>
        </w:r>
        <w:r w:rsidR="00FB2B6D">
          <w:rPr>
            <w:rFonts w:asciiTheme="minorHAnsi" w:eastAsiaTheme="minorEastAsia" w:hAnsiTheme="minorHAnsi"/>
            <w:bCs w:val="0"/>
            <w:noProof/>
            <w:szCs w:val="24"/>
          </w:rPr>
          <w:tab/>
        </w:r>
        <w:r w:rsidR="00FB2B6D" w:rsidRPr="006615B9">
          <w:rPr>
            <w:rStyle w:val="Hyperlink"/>
            <w:noProof/>
          </w:rPr>
          <w:t>F17 Allow Students to Repeat Substandard Grades at Other Regionally Accredited Institutions</w:t>
        </w:r>
        <w:r w:rsidR="00FB2B6D">
          <w:rPr>
            <w:noProof/>
            <w:webHidden/>
          </w:rPr>
          <w:tab/>
        </w:r>
        <w:r w:rsidR="00FB2B6D">
          <w:rPr>
            <w:noProof/>
            <w:webHidden/>
          </w:rPr>
          <w:fldChar w:fldCharType="begin"/>
        </w:r>
        <w:r w:rsidR="00FB2B6D">
          <w:rPr>
            <w:noProof/>
            <w:webHidden/>
          </w:rPr>
          <w:instrText xml:space="preserve"> PAGEREF _Toc494649706 \h </w:instrText>
        </w:r>
        <w:r w:rsidR="00FB2B6D">
          <w:rPr>
            <w:noProof/>
            <w:webHidden/>
          </w:rPr>
        </w:r>
        <w:r w:rsidR="00FB2B6D">
          <w:rPr>
            <w:noProof/>
            <w:webHidden/>
          </w:rPr>
          <w:fldChar w:fldCharType="separate"/>
        </w:r>
        <w:r w:rsidR="001D6936">
          <w:rPr>
            <w:noProof/>
            <w:webHidden/>
          </w:rPr>
          <w:t>8</w:t>
        </w:r>
        <w:r w:rsidR="00FB2B6D">
          <w:rPr>
            <w:noProof/>
            <w:webHidden/>
          </w:rPr>
          <w:fldChar w:fldCharType="end"/>
        </w:r>
      </w:hyperlink>
    </w:p>
    <w:p w14:paraId="387587A3" w14:textId="77777777" w:rsidR="00FB2B6D" w:rsidRDefault="003F225A">
      <w:pPr>
        <w:pStyle w:val="TOC1"/>
        <w:tabs>
          <w:tab w:val="left" w:pos="720"/>
          <w:tab w:val="right" w:leader="dot" w:pos="8630"/>
        </w:tabs>
        <w:rPr>
          <w:rFonts w:asciiTheme="minorHAnsi" w:eastAsiaTheme="minorEastAsia" w:hAnsiTheme="minorHAnsi"/>
          <w:b w:val="0"/>
          <w:bCs w:val="0"/>
          <w:noProof/>
        </w:rPr>
      </w:pPr>
      <w:hyperlink w:anchor="_Toc494649707" w:history="1">
        <w:r w:rsidR="00FB2B6D" w:rsidRPr="006615B9">
          <w:rPr>
            <w:rStyle w:val="Hyperlink"/>
            <w:noProof/>
          </w:rPr>
          <w:t>15.0</w:t>
        </w:r>
        <w:r w:rsidR="00FB2B6D">
          <w:rPr>
            <w:rFonts w:asciiTheme="minorHAnsi" w:eastAsiaTheme="minorEastAsia" w:hAnsiTheme="minorHAnsi"/>
            <w:b w:val="0"/>
            <w:bCs w:val="0"/>
            <w:noProof/>
          </w:rPr>
          <w:tab/>
        </w:r>
        <w:r w:rsidR="00FB2B6D" w:rsidRPr="006615B9">
          <w:rPr>
            <w:rStyle w:val="Hyperlink"/>
            <w:noProof/>
          </w:rPr>
          <w:t>INTERSEGMENTAL ISSUES</w:t>
        </w:r>
        <w:r w:rsidR="00FB2B6D">
          <w:rPr>
            <w:noProof/>
            <w:webHidden/>
          </w:rPr>
          <w:tab/>
        </w:r>
        <w:r w:rsidR="00FB2B6D">
          <w:rPr>
            <w:noProof/>
            <w:webHidden/>
          </w:rPr>
          <w:fldChar w:fldCharType="begin"/>
        </w:r>
        <w:r w:rsidR="00FB2B6D">
          <w:rPr>
            <w:noProof/>
            <w:webHidden/>
          </w:rPr>
          <w:instrText xml:space="preserve"> PAGEREF _Toc494649707 \h </w:instrText>
        </w:r>
        <w:r w:rsidR="00FB2B6D">
          <w:rPr>
            <w:noProof/>
            <w:webHidden/>
          </w:rPr>
        </w:r>
        <w:r w:rsidR="00FB2B6D">
          <w:rPr>
            <w:noProof/>
            <w:webHidden/>
          </w:rPr>
          <w:fldChar w:fldCharType="separate"/>
        </w:r>
        <w:r w:rsidR="001D6936">
          <w:rPr>
            <w:noProof/>
            <w:webHidden/>
          </w:rPr>
          <w:t>9</w:t>
        </w:r>
        <w:r w:rsidR="00FB2B6D">
          <w:rPr>
            <w:noProof/>
            <w:webHidden/>
          </w:rPr>
          <w:fldChar w:fldCharType="end"/>
        </w:r>
      </w:hyperlink>
    </w:p>
    <w:p w14:paraId="0FE14625"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708" w:history="1">
        <w:r w:rsidR="00FB2B6D" w:rsidRPr="006615B9">
          <w:rPr>
            <w:rStyle w:val="Hyperlink"/>
            <w:noProof/>
          </w:rPr>
          <w:t>*15.01</w:t>
        </w:r>
        <w:r w:rsidR="00FB2B6D">
          <w:rPr>
            <w:rFonts w:asciiTheme="minorHAnsi" w:eastAsiaTheme="minorEastAsia" w:hAnsiTheme="minorHAnsi"/>
            <w:bCs w:val="0"/>
            <w:noProof/>
            <w:szCs w:val="24"/>
          </w:rPr>
          <w:tab/>
        </w:r>
        <w:r w:rsidR="00FB2B6D" w:rsidRPr="006615B9">
          <w:rPr>
            <w:rStyle w:val="Hyperlink"/>
            <w:noProof/>
          </w:rPr>
          <w:t>F17 Aligning Transfer Pathways for the California State University and University of California Systems</w:t>
        </w:r>
        <w:r w:rsidR="00FB2B6D">
          <w:rPr>
            <w:noProof/>
            <w:webHidden/>
          </w:rPr>
          <w:tab/>
        </w:r>
        <w:r w:rsidR="00FB2B6D">
          <w:rPr>
            <w:noProof/>
            <w:webHidden/>
          </w:rPr>
          <w:fldChar w:fldCharType="begin"/>
        </w:r>
        <w:r w:rsidR="00FB2B6D">
          <w:rPr>
            <w:noProof/>
            <w:webHidden/>
          </w:rPr>
          <w:instrText xml:space="preserve"> PAGEREF _Toc494649708 \h </w:instrText>
        </w:r>
        <w:r w:rsidR="00FB2B6D">
          <w:rPr>
            <w:noProof/>
            <w:webHidden/>
          </w:rPr>
        </w:r>
        <w:r w:rsidR="00FB2B6D">
          <w:rPr>
            <w:noProof/>
            <w:webHidden/>
          </w:rPr>
          <w:fldChar w:fldCharType="separate"/>
        </w:r>
        <w:r w:rsidR="001D6936">
          <w:rPr>
            <w:noProof/>
            <w:webHidden/>
          </w:rPr>
          <w:t>9</w:t>
        </w:r>
        <w:r w:rsidR="00FB2B6D">
          <w:rPr>
            <w:noProof/>
            <w:webHidden/>
          </w:rPr>
          <w:fldChar w:fldCharType="end"/>
        </w:r>
      </w:hyperlink>
    </w:p>
    <w:p w14:paraId="504CA952" w14:textId="77777777" w:rsidR="00FB2B6D" w:rsidRDefault="003F225A">
      <w:pPr>
        <w:pStyle w:val="TOC1"/>
        <w:tabs>
          <w:tab w:val="left" w:pos="720"/>
          <w:tab w:val="right" w:leader="dot" w:pos="8630"/>
        </w:tabs>
        <w:rPr>
          <w:rFonts w:asciiTheme="minorHAnsi" w:eastAsiaTheme="minorEastAsia" w:hAnsiTheme="minorHAnsi"/>
          <w:b w:val="0"/>
          <w:bCs w:val="0"/>
          <w:noProof/>
        </w:rPr>
      </w:pPr>
      <w:hyperlink w:anchor="_Toc494649709" w:history="1">
        <w:r w:rsidR="00FB2B6D" w:rsidRPr="006615B9">
          <w:rPr>
            <w:rStyle w:val="Hyperlink"/>
            <w:noProof/>
          </w:rPr>
          <w:t>17.0</w:t>
        </w:r>
        <w:r w:rsidR="00FB2B6D">
          <w:rPr>
            <w:rFonts w:asciiTheme="minorHAnsi" w:eastAsiaTheme="minorEastAsia" w:hAnsiTheme="minorHAnsi"/>
            <w:b w:val="0"/>
            <w:bCs w:val="0"/>
            <w:noProof/>
          </w:rPr>
          <w:tab/>
        </w:r>
        <w:r w:rsidR="00FB2B6D" w:rsidRPr="006615B9">
          <w:rPr>
            <w:rStyle w:val="Hyperlink"/>
            <w:noProof/>
          </w:rPr>
          <w:t>LOCAL SENATES</w:t>
        </w:r>
        <w:r w:rsidR="00FB2B6D">
          <w:rPr>
            <w:noProof/>
            <w:webHidden/>
          </w:rPr>
          <w:tab/>
        </w:r>
        <w:r w:rsidR="00FB2B6D">
          <w:rPr>
            <w:noProof/>
            <w:webHidden/>
          </w:rPr>
          <w:fldChar w:fldCharType="begin"/>
        </w:r>
        <w:r w:rsidR="00FB2B6D">
          <w:rPr>
            <w:noProof/>
            <w:webHidden/>
          </w:rPr>
          <w:instrText xml:space="preserve"> PAGEREF _Toc494649709 \h </w:instrText>
        </w:r>
        <w:r w:rsidR="00FB2B6D">
          <w:rPr>
            <w:noProof/>
            <w:webHidden/>
          </w:rPr>
        </w:r>
        <w:r w:rsidR="00FB2B6D">
          <w:rPr>
            <w:noProof/>
            <w:webHidden/>
          </w:rPr>
          <w:fldChar w:fldCharType="separate"/>
        </w:r>
        <w:r w:rsidR="001D6936">
          <w:rPr>
            <w:noProof/>
            <w:webHidden/>
          </w:rPr>
          <w:t>10</w:t>
        </w:r>
        <w:r w:rsidR="00FB2B6D">
          <w:rPr>
            <w:noProof/>
            <w:webHidden/>
          </w:rPr>
          <w:fldChar w:fldCharType="end"/>
        </w:r>
      </w:hyperlink>
    </w:p>
    <w:p w14:paraId="28088B41"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710" w:history="1">
        <w:r w:rsidR="00FB2B6D" w:rsidRPr="006615B9">
          <w:rPr>
            <w:rStyle w:val="Hyperlink"/>
            <w:noProof/>
          </w:rPr>
          <w:t>*17.01</w:t>
        </w:r>
        <w:r w:rsidR="00FB2B6D">
          <w:rPr>
            <w:rFonts w:asciiTheme="minorHAnsi" w:eastAsiaTheme="minorEastAsia" w:hAnsiTheme="minorHAnsi"/>
            <w:bCs w:val="0"/>
            <w:noProof/>
            <w:szCs w:val="24"/>
          </w:rPr>
          <w:tab/>
        </w:r>
        <w:r w:rsidR="00FB2B6D" w:rsidRPr="006615B9">
          <w:rPr>
            <w:rStyle w:val="Hyperlink"/>
            <w:noProof/>
          </w:rPr>
          <w:t>F17 Faculty Involvement in Scheduling of Courses</w:t>
        </w:r>
        <w:r w:rsidR="00FB2B6D">
          <w:rPr>
            <w:noProof/>
            <w:webHidden/>
          </w:rPr>
          <w:tab/>
        </w:r>
        <w:r w:rsidR="00FB2B6D">
          <w:rPr>
            <w:noProof/>
            <w:webHidden/>
          </w:rPr>
          <w:fldChar w:fldCharType="begin"/>
        </w:r>
        <w:r w:rsidR="00FB2B6D">
          <w:rPr>
            <w:noProof/>
            <w:webHidden/>
          </w:rPr>
          <w:instrText xml:space="preserve"> PAGEREF _Toc494649710 \h </w:instrText>
        </w:r>
        <w:r w:rsidR="00FB2B6D">
          <w:rPr>
            <w:noProof/>
            <w:webHidden/>
          </w:rPr>
        </w:r>
        <w:r w:rsidR="00FB2B6D">
          <w:rPr>
            <w:noProof/>
            <w:webHidden/>
          </w:rPr>
          <w:fldChar w:fldCharType="separate"/>
        </w:r>
        <w:r w:rsidR="001D6936">
          <w:rPr>
            <w:noProof/>
            <w:webHidden/>
          </w:rPr>
          <w:t>10</w:t>
        </w:r>
        <w:r w:rsidR="00FB2B6D">
          <w:rPr>
            <w:noProof/>
            <w:webHidden/>
          </w:rPr>
          <w:fldChar w:fldCharType="end"/>
        </w:r>
      </w:hyperlink>
    </w:p>
    <w:p w14:paraId="6AD2F5A2"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711" w:history="1">
        <w:r w:rsidR="00FB2B6D" w:rsidRPr="006615B9">
          <w:rPr>
            <w:rStyle w:val="Hyperlink"/>
            <w:noProof/>
          </w:rPr>
          <w:t>*17.02</w:t>
        </w:r>
        <w:r w:rsidR="00FB2B6D">
          <w:rPr>
            <w:rFonts w:asciiTheme="minorHAnsi" w:eastAsiaTheme="minorEastAsia" w:hAnsiTheme="minorHAnsi"/>
            <w:bCs w:val="0"/>
            <w:noProof/>
            <w:szCs w:val="24"/>
          </w:rPr>
          <w:tab/>
        </w:r>
        <w:r w:rsidR="00FB2B6D" w:rsidRPr="006615B9">
          <w:rPr>
            <w:rStyle w:val="Hyperlink"/>
            <w:noProof/>
          </w:rPr>
          <w:t>F17 Local Academic Senate Role in Developing and Implementing Guided Pathways Frameworks</w:t>
        </w:r>
        <w:r w:rsidR="00FB2B6D">
          <w:rPr>
            <w:noProof/>
            <w:webHidden/>
          </w:rPr>
          <w:tab/>
        </w:r>
        <w:r w:rsidR="00FB2B6D">
          <w:rPr>
            <w:noProof/>
            <w:webHidden/>
          </w:rPr>
          <w:fldChar w:fldCharType="begin"/>
        </w:r>
        <w:r w:rsidR="00FB2B6D">
          <w:rPr>
            <w:noProof/>
            <w:webHidden/>
          </w:rPr>
          <w:instrText xml:space="preserve"> PAGEREF _Toc494649711 \h </w:instrText>
        </w:r>
        <w:r w:rsidR="00FB2B6D">
          <w:rPr>
            <w:noProof/>
            <w:webHidden/>
          </w:rPr>
        </w:r>
        <w:r w:rsidR="00FB2B6D">
          <w:rPr>
            <w:noProof/>
            <w:webHidden/>
          </w:rPr>
          <w:fldChar w:fldCharType="separate"/>
        </w:r>
        <w:r w:rsidR="001D6936">
          <w:rPr>
            <w:noProof/>
            <w:webHidden/>
          </w:rPr>
          <w:t>10</w:t>
        </w:r>
        <w:r w:rsidR="00FB2B6D">
          <w:rPr>
            <w:noProof/>
            <w:webHidden/>
          </w:rPr>
          <w:fldChar w:fldCharType="end"/>
        </w:r>
      </w:hyperlink>
    </w:p>
    <w:p w14:paraId="3A262A75"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712" w:history="1">
        <w:r w:rsidR="00FB2B6D" w:rsidRPr="006615B9">
          <w:rPr>
            <w:rStyle w:val="Hyperlink"/>
            <w:noProof/>
          </w:rPr>
          <w:t>*17.03</w:t>
        </w:r>
        <w:r w:rsidR="00FB2B6D">
          <w:rPr>
            <w:rFonts w:asciiTheme="minorHAnsi" w:eastAsiaTheme="minorEastAsia" w:hAnsiTheme="minorHAnsi"/>
            <w:bCs w:val="0"/>
            <w:noProof/>
            <w:szCs w:val="24"/>
          </w:rPr>
          <w:tab/>
        </w:r>
        <w:r w:rsidR="00FB2B6D" w:rsidRPr="006615B9">
          <w:rPr>
            <w:rStyle w:val="Hyperlink"/>
            <w:noProof/>
          </w:rPr>
          <w:t>F17 Application of Faculty Policies to Apprenticeship Instructors</w:t>
        </w:r>
        <w:r w:rsidR="00FB2B6D">
          <w:rPr>
            <w:noProof/>
            <w:webHidden/>
          </w:rPr>
          <w:tab/>
        </w:r>
        <w:r w:rsidR="00FB2B6D">
          <w:rPr>
            <w:noProof/>
            <w:webHidden/>
          </w:rPr>
          <w:fldChar w:fldCharType="begin"/>
        </w:r>
        <w:r w:rsidR="00FB2B6D">
          <w:rPr>
            <w:noProof/>
            <w:webHidden/>
          </w:rPr>
          <w:instrText xml:space="preserve"> PAGEREF _Toc494649712 \h </w:instrText>
        </w:r>
        <w:r w:rsidR="00FB2B6D">
          <w:rPr>
            <w:noProof/>
            <w:webHidden/>
          </w:rPr>
        </w:r>
        <w:r w:rsidR="00FB2B6D">
          <w:rPr>
            <w:noProof/>
            <w:webHidden/>
          </w:rPr>
          <w:fldChar w:fldCharType="separate"/>
        </w:r>
        <w:r w:rsidR="001D6936">
          <w:rPr>
            <w:noProof/>
            <w:webHidden/>
          </w:rPr>
          <w:t>11</w:t>
        </w:r>
        <w:r w:rsidR="00FB2B6D">
          <w:rPr>
            <w:noProof/>
            <w:webHidden/>
          </w:rPr>
          <w:fldChar w:fldCharType="end"/>
        </w:r>
      </w:hyperlink>
    </w:p>
    <w:p w14:paraId="6537A5D7" w14:textId="77777777" w:rsidR="00FB2B6D" w:rsidRDefault="003F225A">
      <w:pPr>
        <w:pStyle w:val="TOC2"/>
        <w:tabs>
          <w:tab w:val="left" w:pos="1200"/>
          <w:tab w:val="right" w:leader="dot" w:pos="8630"/>
        </w:tabs>
        <w:rPr>
          <w:rFonts w:asciiTheme="minorHAnsi" w:eastAsiaTheme="minorEastAsia" w:hAnsiTheme="minorHAnsi"/>
          <w:bCs w:val="0"/>
          <w:noProof/>
          <w:szCs w:val="24"/>
        </w:rPr>
      </w:pPr>
      <w:hyperlink w:anchor="_Toc494649713" w:history="1">
        <w:r w:rsidR="00FB2B6D" w:rsidRPr="006615B9">
          <w:rPr>
            <w:rStyle w:val="Hyperlink"/>
            <w:noProof/>
          </w:rPr>
          <w:t>*17.04</w:t>
        </w:r>
        <w:r w:rsidR="00FB2B6D">
          <w:rPr>
            <w:rFonts w:asciiTheme="minorHAnsi" w:eastAsiaTheme="minorEastAsia" w:hAnsiTheme="minorHAnsi"/>
            <w:bCs w:val="0"/>
            <w:noProof/>
            <w:szCs w:val="24"/>
          </w:rPr>
          <w:tab/>
        </w:r>
        <w:r w:rsidR="00FB2B6D" w:rsidRPr="006615B9">
          <w:rPr>
            <w:rStyle w:val="Hyperlink"/>
            <w:noProof/>
          </w:rPr>
          <w:t>F17 Local Senate Purview Over Placement of Apprenticeship Courses Within Disciplines</w:t>
        </w:r>
        <w:r w:rsidR="00FB2B6D">
          <w:rPr>
            <w:noProof/>
            <w:webHidden/>
          </w:rPr>
          <w:tab/>
        </w:r>
        <w:r w:rsidR="00FB2B6D">
          <w:rPr>
            <w:noProof/>
            <w:webHidden/>
          </w:rPr>
          <w:fldChar w:fldCharType="begin"/>
        </w:r>
        <w:r w:rsidR="00FB2B6D">
          <w:rPr>
            <w:noProof/>
            <w:webHidden/>
          </w:rPr>
          <w:instrText xml:space="preserve"> PAGEREF _Toc494649713 \h </w:instrText>
        </w:r>
        <w:r w:rsidR="00FB2B6D">
          <w:rPr>
            <w:noProof/>
            <w:webHidden/>
          </w:rPr>
        </w:r>
        <w:r w:rsidR="00FB2B6D">
          <w:rPr>
            <w:noProof/>
            <w:webHidden/>
          </w:rPr>
          <w:fldChar w:fldCharType="separate"/>
        </w:r>
        <w:r w:rsidR="001D6936">
          <w:rPr>
            <w:noProof/>
            <w:webHidden/>
          </w:rPr>
          <w:t>12</w:t>
        </w:r>
        <w:r w:rsidR="00FB2B6D">
          <w:rPr>
            <w:noProof/>
            <w:webHidden/>
          </w:rPr>
          <w:fldChar w:fldCharType="end"/>
        </w:r>
      </w:hyperlink>
    </w:p>
    <w:p w14:paraId="4D8C6F69" w14:textId="3B3ECFFD" w:rsidR="0084743B" w:rsidRDefault="00FB2B6D">
      <w:pPr>
        <w:rPr>
          <w:bCs/>
          <w:szCs w:val="22"/>
        </w:rPr>
      </w:pPr>
      <w:r>
        <w:rPr>
          <w:bCs/>
          <w:szCs w:val="22"/>
        </w:rPr>
        <w:fldChar w:fldCharType="end"/>
      </w:r>
    </w:p>
    <w:p w14:paraId="2A2A79CE" w14:textId="3555B3C9" w:rsidR="00702C47" w:rsidRDefault="00702C47" w:rsidP="00553A7E">
      <w:pPr>
        <w:pStyle w:val="TOC2"/>
        <w:rPr>
          <w:rFonts w:eastAsiaTheme="majorEastAsia" w:cs="Times New Roman"/>
          <w:color w:val="000000" w:themeColor="text1"/>
        </w:rPr>
      </w:pPr>
      <w:bookmarkStart w:id="1" w:name="_Toc494118127"/>
      <w:bookmarkStart w:id="2" w:name="_Toc494118182"/>
      <w:bookmarkStart w:id="3" w:name="_Toc494121950"/>
      <w:bookmarkStart w:id="4" w:name="_Toc493230537"/>
      <w:bookmarkStart w:id="5" w:name="_Toc493230647"/>
      <w:r>
        <w:br w:type="page"/>
      </w:r>
    </w:p>
    <w:p w14:paraId="123A32BE" w14:textId="77777777" w:rsidR="00811182" w:rsidRDefault="00811182" w:rsidP="0061288E">
      <w:pPr>
        <w:pStyle w:val="Heading1SectionTitle"/>
        <w:sectPr w:rsidR="00811182" w:rsidSect="00811182">
          <w:footerReference w:type="default" r:id="rId12"/>
          <w:pgSz w:w="12240" w:h="15840"/>
          <w:pgMar w:top="1440" w:right="1800" w:bottom="1440" w:left="1800" w:header="720" w:footer="720" w:gutter="0"/>
          <w:pgNumType w:fmt="lowerRoman" w:start="1"/>
          <w:cols w:space="720"/>
          <w:docGrid w:linePitch="360"/>
        </w:sectPr>
      </w:pPr>
      <w:bookmarkStart w:id="6" w:name="_Toc494292594"/>
      <w:bookmarkStart w:id="7" w:name="_Toc494293708"/>
      <w:bookmarkStart w:id="8" w:name="_Toc494356231"/>
      <w:bookmarkStart w:id="9" w:name="_Toc494356789"/>
      <w:bookmarkStart w:id="10" w:name="_Toc494643103"/>
      <w:bookmarkStart w:id="11" w:name="_Toc494644346"/>
      <w:bookmarkStart w:id="12" w:name="_Toc494644622"/>
      <w:bookmarkStart w:id="13" w:name="_Toc494644747"/>
      <w:bookmarkStart w:id="14" w:name="_Toc494649689"/>
    </w:p>
    <w:p w14:paraId="0F54D67D" w14:textId="39BC9202" w:rsidR="00E63D3B" w:rsidRDefault="0061288E" w:rsidP="0061288E">
      <w:pPr>
        <w:pStyle w:val="Heading1SectionTitle"/>
      </w:pPr>
      <w:r>
        <w:t>1.0</w:t>
      </w:r>
      <w:r>
        <w:tab/>
        <w:t>ACADEMIC SENATE</w:t>
      </w:r>
      <w:bookmarkEnd w:id="1"/>
      <w:bookmarkEnd w:id="2"/>
      <w:bookmarkEnd w:id="3"/>
      <w:bookmarkEnd w:id="6"/>
      <w:bookmarkEnd w:id="7"/>
      <w:bookmarkEnd w:id="8"/>
      <w:bookmarkEnd w:id="9"/>
      <w:bookmarkEnd w:id="10"/>
      <w:bookmarkEnd w:id="11"/>
      <w:bookmarkEnd w:id="12"/>
      <w:bookmarkEnd w:id="13"/>
      <w:bookmarkEnd w:id="14"/>
    </w:p>
    <w:p w14:paraId="44B522C5" w14:textId="1465E8C4" w:rsidR="00E63D3B" w:rsidRPr="00C23000" w:rsidRDefault="006C67E9" w:rsidP="0061288E">
      <w:pPr>
        <w:pStyle w:val="Heading2ResolutionTitle"/>
      </w:pPr>
      <w:bookmarkStart w:id="15" w:name="_Toc494118128"/>
      <w:bookmarkStart w:id="16" w:name="_Toc494118183"/>
      <w:bookmarkStart w:id="17" w:name="_Toc494121951"/>
      <w:bookmarkStart w:id="18" w:name="_Toc494292595"/>
      <w:bookmarkStart w:id="19" w:name="_Toc494293709"/>
      <w:bookmarkStart w:id="20" w:name="_Toc494356232"/>
      <w:bookmarkStart w:id="21" w:name="_Toc494356790"/>
      <w:bookmarkStart w:id="22" w:name="_Toc494643104"/>
      <w:bookmarkStart w:id="23" w:name="_Toc494644347"/>
      <w:bookmarkStart w:id="24" w:name="_Toc494644623"/>
      <w:bookmarkStart w:id="25" w:name="_Toc494644748"/>
      <w:bookmarkStart w:id="26" w:name="_Toc494649690"/>
      <w:r>
        <w:t>*</w:t>
      </w:r>
      <w:r w:rsidR="00F65FA2">
        <w:t>1.01</w:t>
      </w:r>
      <w:r w:rsidR="00F65FA2">
        <w:tab/>
        <w:t>F17</w:t>
      </w:r>
      <w:r w:rsidR="00F65FA2">
        <w:tab/>
      </w:r>
      <w:r w:rsidR="00E63D3B">
        <w:t>Emeritus Status for Paul Setziol</w:t>
      </w:r>
      <w:bookmarkEnd w:id="15"/>
      <w:bookmarkEnd w:id="16"/>
      <w:bookmarkEnd w:id="17"/>
      <w:bookmarkEnd w:id="18"/>
      <w:bookmarkEnd w:id="19"/>
      <w:bookmarkEnd w:id="20"/>
      <w:bookmarkEnd w:id="21"/>
      <w:bookmarkEnd w:id="22"/>
      <w:bookmarkEnd w:id="23"/>
      <w:bookmarkEnd w:id="24"/>
      <w:bookmarkEnd w:id="25"/>
      <w:bookmarkEnd w:id="26"/>
    </w:p>
    <w:p w14:paraId="7403C398" w14:textId="77777777" w:rsidR="00E63D3B" w:rsidRPr="00C23000" w:rsidRDefault="00E63D3B" w:rsidP="00E63D3B">
      <w:r w:rsidRPr="00C23000">
        <w:t xml:space="preserve">Whereas, The Bylaws of the Academic Senate for California Community Colleges include procedures and criteria for conferring the status of senator emeritus on individuals; </w:t>
      </w:r>
    </w:p>
    <w:p w14:paraId="4F738ADD" w14:textId="77777777" w:rsidR="00E63D3B" w:rsidRDefault="00E63D3B" w:rsidP="00E63D3B"/>
    <w:p w14:paraId="1EA328D0" w14:textId="77777777" w:rsidR="00E63D3B" w:rsidRDefault="00E63D3B" w:rsidP="00E63D3B">
      <w:r w:rsidRPr="00C23000">
        <w:t xml:space="preserve">Whereas, Paul Setziol has satisfied those requirements as a retired faculty member of the California Community College System who has completed the required five (5) years of significant service to the Academic Senate: </w:t>
      </w:r>
    </w:p>
    <w:p w14:paraId="746175F2" w14:textId="77777777" w:rsidR="00E63D3B" w:rsidRDefault="00E63D3B" w:rsidP="00E63D3B">
      <w:pPr>
        <w:pStyle w:val="ListParagraph"/>
        <w:numPr>
          <w:ilvl w:val="0"/>
          <w:numId w:val="9"/>
        </w:numPr>
      </w:pPr>
      <w:r w:rsidRPr="00C23000">
        <w:t>Service on committees including Standards and Practices and Educational Policies</w:t>
      </w:r>
    </w:p>
    <w:p w14:paraId="59F6C291" w14:textId="4DF858A3" w:rsidR="00E63D3B" w:rsidRDefault="00E63D3B" w:rsidP="00E63D3B">
      <w:pPr>
        <w:pStyle w:val="ListParagraph"/>
        <w:numPr>
          <w:ilvl w:val="0"/>
          <w:numId w:val="9"/>
        </w:numPr>
      </w:pPr>
      <w:r w:rsidRPr="00C23000">
        <w:t xml:space="preserve">Participant on ASCCC papers including </w:t>
      </w:r>
      <w:r w:rsidRPr="002D63BC">
        <w:rPr>
          <w:i/>
        </w:rPr>
        <w:t>Tenure: Towards a Model Four Year Process</w:t>
      </w:r>
    </w:p>
    <w:p w14:paraId="6A93260A" w14:textId="77777777" w:rsidR="00E63D3B" w:rsidRDefault="00E63D3B" w:rsidP="00E63D3B">
      <w:pPr>
        <w:pStyle w:val="ListParagraph"/>
        <w:numPr>
          <w:ilvl w:val="0"/>
          <w:numId w:val="9"/>
        </w:numPr>
      </w:pPr>
      <w:r w:rsidRPr="00C23000">
        <w:t xml:space="preserve">Author of numerous resolutions and </w:t>
      </w:r>
      <w:r w:rsidRPr="002D63BC">
        <w:rPr>
          <w:i/>
        </w:rPr>
        <w:t>Rostrum</w:t>
      </w:r>
      <w:r w:rsidRPr="00C23000">
        <w:t xml:space="preserve"> articles, dating from the 1980s forward</w:t>
      </w:r>
    </w:p>
    <w:p w14:paraId="2A274705" w14:textId="77777777" w:rsidR="00E63D3B" w:rsidRPr="00C23000" w:rsidRDefault="00E63D3B" w:rsidP="00E63D3B">
      <w:pPr>
        <w:pStyle w:val="ListParagraph"/>
        <w:numPr>
          <w:ilvl w:val="0"/>
          <w:numId w:val="9"/>
        </w:numPr>
      </w:pPr>
      <w:r w:rsidRPr="00C23000">
        <w:t>Participant in numerous presentations at ASCCC institutes, events, and plenary sessions</w:t>
      </w:r>
    </w:p>
    <w:p w14:paraId="3FDC482F" w14:textId="77777777" w:rsidR="00E63D3B" w:rsidRPr="00C23000" w:rsidRDefault="00E63D3B" w:rsidP="00E63D3B"/>
    <w:p w14:paraId="00CA03DA" w14:textId="06BE69EF" w:rsidR="00E63D3B" w:rsidRPr="00C23000" w:rsidRDefault="00E63D3B" w:rsidP="00E63D3B">
      <w:r w:rsidRPr="00C23000">
        <w:t xml:space="preserve">Whereas, Paul’s passion for the California </w:t>
      </w:r>
      <w:r w:rsidR="00947431">
        <w:t>c</w:t>
      </w:r>
      <w:r w:rsidRPr="00C23000">
        <w:t xml:space="preserve">ommunity </w:t>
      </w:r>
      <w:r w:rsidR="00947431">
        <w:t>c</w:t>
      </w:r>
      <w:r w:rsidRPr="00C23000">
        <w:t>olleges and his interest in ensuring student access led him to be one of the most vociferous opponents of student fees, as well as a powerful advocate for low and no cost textbooks; and</w:t>
      </w:r>
    </w:p>
    <w:p w14:paraId="61026E54" w14:textId="77777777" w:rsidR="00E63D3B" w:rsidRPr="00C23000" w:rsidRDefault="00E63D3B" w:rsidP="00E63D3B">
      <w:r w:rsidRPr="00C23000">
        <w:t xml:space="preserve"> </w:t>
      </w:r>
    </w:p>
    <w:p w14:paraId="354F65D5" w14:textId="77777777" w:rsidR="00E63D3B" w:rsidRPr="00C23000" w:rsidRDefault="00E63D3B" w:rsidP="00E63D3B">
      <w:r w:rsidRPr="00C23000">
        <w:t>Whereas, Paul’s service on the De Anza College Academic Senate has extended over three decades, providing a level of institutional memory and continuity of service that is the envy of other colleges in the system;</w:t>
      </w:r>
    </w:p>
    <w:p w14:paraId="42026F1A" w14:textId="77777777" w:rsidR="00E63D3B" w:rsidRDefault="00E63D3B" w:rsidP="00E63D3B"/>
    <w:p w14:paraId="726D004C" w14:textId="77777777" w:rsidR="00E63D3B" w:rsidRPr="00C23000" w:rsidRDefault="00E63D3B" w:rsidP="00E63D3B">
      <w:r w:rsidRPr="00C23000">
        <w:t>Resolved, That the Academic Senate for California Community Colleges recognize Paul Setziol’s extraordinary and distinguished service by awarding him the status of senator emeritus with all rights and privileges thereof; and</w:t>
      </w:r>
    </w:p>
    <w:p w14:paraId="5AB16B3A" w14:textId="77777777" w:rsidR="00E63D3B" w:rsidRDefault="00E63D3B" w:rsidP="00E63D3B"/>
    <w:p w14:paraId="636B8794" w14:textId="77777777" w:rsidR="00E63D3B" w:rsidRDefault="00E63D3B" w:rsidP="00E63D3B">
      <w:r w:rsidRPr="00C23000">
        <w:t>Resolved, That the Academic Senate for California Community Colleges convey to Paul Setziol its heartfelt congratulations during his retirement and wish him and his family every happiness in the years to come.</w:t>
      </w:r>
    </w:p>
    <w:p w14:paraId="6B2CF3FD" w14:textId="77777777" w:rsidR="000634C6" w:rsidRDefault="000634C6" w:rsidP="00E63D3B"/>
    <w:p w14:paraId="369920C7" w14:textId="2CD1A55A" w:rsidR="000634C6" w:rsidRDefault="000634C6" w:rsidP="00E63D3B">
      <w:r>
        <w:t xml:space="preserve">Contact: </w:t>
      </w:r>
      <w:r w:rsidR="00995B77">
        <w:t>Area B</w:t>
      </w:r>
    </w:p>
    <w:p w14:paraId="6782890D" w14:textId="77777777" w:rsidR="004471AC" w:rsidRDefault="004471AC" w:rsidP="00E63D3B"/>
    <w:p w14:paraId="15D09D2E" w14:textId="4669F28B" w:rsidR="004471AC" w:rsidRDefault="004471AC" w:rsidP="0061288E">
      <w:pPr>
        <w:pStyle w:val="Heading1SectionTitle"/>
      </w:pPr>
      <w:bookmarkStart w:id="27" w:name="_Toc494118129"/>
      <w:bookmarkStart w:id="28" w:name="_Toc494118184"/>
      <w:bookmarkStart w:id="29" w:name="_Toc494121952"/>
      <w:bookmarkStart w:id="30" w:name="_Toc494292596"/>
      <w:bookmarkStart w:id="31" w:name="_Toc494293710"/>
      <w:bookmarkStart w:id="32" w:name="_Toc494356233"/>
      <w:bookmarkStart w:id="33" w:name="_Toc494356791"/>
      <w:bookmarkStart w:id="34" w:name="_Toc494643105"/>
      <w:bookmarkStart w:id="35" w:name="_Toc494644348"/>
      <w:bookmarkStart w:id="36" w:name="_Toc494644624"/>
      <w:bookmarkStart w:id="37" w:name="_Toc494644749"/>
      <w:bookmarkStart w:id="38" w:name="_Toc494649691"/>
      <w:r>
        <w:t>3.0</w:t>
      </w:r>
      <w:r>
        <w:tab/>
      </w:r>
      <w:r w:rsidR="0061288E">
        <w:t>DIVERSITY AND EQUITY</w:t>
      </w:r>
      <w:bookmarkEnd w:id="27"/>
      <w:bookmarkEnd w:id="28"/>
      <w:bookmarkEnd w:id="29"/>
      <w:bookmarkEnd w:id="30"/>
      <w:bookmarkEnd w:id="31"/>
      <w:bookmarkEnd w:id="32"/>
      <w:bookmarkEnd w:id="33"/>
      <w:bookmarkEnd w:id="34"/>
      <w:bookmarkEnd w:id="35"/>
      <w:bookmarkEnd w:id="36"/>
      <w:bookmarkEnd w:id="37"/>
      <w:bookmarkEnd w:id="38"/>
    </w:p>
    <w:p w14:paraId="07849CD1" w14:textId="263D71AB" w:rsidR="004471AC" w:rsidRPr="00F51B5F" w:rsidRDefault="00156D4D" w:rsidP="0061288E">
      <w:pPr>
        <w:pStyle w:val="Heading2ResolutionTitle"/>
      </w:pPr>
      <w:bookmarkStart w:id="39" w:name="_Toc494118130"/>
      <w:bookmarkStart w:id="40" w:name="_Toc494118185"/>
      <w:bookmarkStart w:id="41" w:name="_Toc494121953"/>
      <w:bookmarkStart w:id="42" w:name="_Toc494292597"/>
      <w:bookmarkStart w:id="43" w:name="_Toc494293711"/>
      <w:bookmarkStart w:id="44" w:name="_Toc494356234"/>
      <w:bookmarkStart w:id="45" w:name="_Toc494356792"/>
      <w:bookmarkStart w:id="46" w:name="_Toc494643106"/>
      <w:bookmarkStart w:id="47" w:name="_Toc494644349"/>
      <w:bookmarkStart w:id="48" w:name="_Toc494644625"/>
      <w:bookmarkStart w:id="49" w:name="_Toc494644750"/>
      <w:bookmarkStart w:id="50" w:name="_Toc494649692"/>
      <w:r>
        <w:t>*</w:t>
      </w:r>
      <w:r w:rsidR="004471AC">
        <w:t>3.01</w:t>
      </w:r>
      <w:r w:rsidR="004471AC">
        <w:tab/>
      </w:r>
      <w:r w:rsidR="00777876">
        <w:t>F</w:t>
      </w:r>
      <w:r w:rsidR="00F65FA2">
        <w:t>17</w:t>
      </w:r>
      <w:r w:rsidR="00F65FA2">
        <w:tab/>
      </w:r>
      <w:r w:rsidR="004471AC" w:rsidRPr="00F51B5F">
        <w:t>Support for DACA Students</w:t>
      </w:r>
      <w:bookmarkEnd w:id="39"/>
      <w:bookmarkEnd w:id="40"/>
      <w:bookmarkEnd w:id="41"/>
      <w:bookmarkEnd w:id="42"/>
      <w:bookmarkEnd w:id="43"/>
      <w:bookmarkEnd w:id="44"/>
      <w:bookmarkEnd w:id="45"/>
      <w:bookmarkEnd w:id="46"/>
      <w:bookmarkEnd w:id="47"/>
      <w:bookmarkEnd w:id="48"/>
      <w:bookmarkEnd w:id="49"/>
      <w:bookmarkEnd w:id="50"/>
      <w:r w:rsidR="004471AC" w:rsidRPr="00F51B5F">
        <w:t xml:space="preserve"> </w:t>
      </w:r>
    </w:p>
    <w:p w14:paraId="35F464A6" w14:textId="7936CD3C" w:rsidR="004471AC" w:rsidRPr="00F51B5F" w:rsidRDefault="00760273" w:rsidP="004471AC">
      <w:r>
        <w:t xml:space="preserve">Whereas, On </w:t>
      </w:r>
      <w:r w:rsidR="004471AC" w:rsidRPr="00F51B5F">
        <w:t>September</w:t>
      </w:r>
      <w:r>
        <w:t xml:space="preserve"> 5,</w:t>
      </w:r>
      <w:r w:rsidR="004471AC" w:rsidRPr="00F51B5F">
        <w:t xml:space="preserve"> 2017, the United States’ Attorney General announced the intent of the federal government to eliminate the Deferred Action on Childhood Arrivals (DACA) program, effective six months from the day of announcement;</w:t>
      </w:r>
    </w:p>
    <w:p w14:paraId="7BC613C3" w14:textId="77777777" w:rsidR="004471AC" w:rsidRPr="00F51B5F" w:rsidRDefault="004471AC" w:rsidP="004471AC"/>
    <w:p w14:paraId="78F10969" w14:textId="58B4556D" w:rsidR="004471AC" w:rsidRPr="00F51B5F" w:rsidRDefault="00AC1906" w:rsidP="004471AC">
      <w:r>
        <w:t>Whereas, M</w:t>
      </w:r>
      <w:r w:rsidR="004471AC" w:rsidRPr="00F51B5F">
        <w:t>ore than 222,000 DACA recipients currently reside in California, making California the single largest DACA state, and an estimated 60,000 of those students are currently enrolled in a California community college</w:t>
      </w:r>
      <w:r w:rsidR="004471AC" w:rsidRPr="00F51B5F">
        <w:rPr>
          <w:vertAlign w:val="superscript"/>
        </w:rPr>
        <w:footnoteReference w:id="1"/>
      </w:r>
      <w:r w:rsidR="004471AC" w:rsidRPr="00F51B5F">
        <w:t>;</w:t>
      </w:r>
    </w:p>
    <w:p w14:paraId="5202FECC" w14:textId="77777777" w:rsidR="004471AC" w:rsidRPr="00F51B5F" w:rsidRDefault="004471AC" w:rsidP="004471AC"/>
    <w:p w14:paraId="57F5C97A" w14:textId="400C6DF6" w:rsidR="004471AC" w:rsidRPr="00F51B5F" w:rsidRDefault="00AC1906" w:rsidP="004471AC">
      <w:r>
        <w:t xml:space="preserve">Whereas, </w:t>
      </w:r>
      <w:r w:rsidR="00D17138">
        <w:t>Faculty</w:t>
      </w:r>
      <w:r w:rsidR="00D17138" w:rsidRPr="00F51B5F">
        <w:t xml:space="preserve"> </w:t>
      </w:r>
      <w:r w:rsidR="004471AC" w:rsidRPr="00F51B5F">
        <w:t>in the California Community College system have requested guidance and resources from the Academic Senate for California Community Colleges to assist their DACA students;</w:t>
      </w:r>
    </w:p>
    <w:p w14:paraId="0B3F2058" w14:textId="77777777" w:rsidR="004471AC" w:rsidRPr="00F51B5F" w:rsidRDefault="004471AC" w:rsidP="004471AC"/>
    <w:p w14:paraId="0FC88D57" w14:textId="6342A15D" w:rsidR="004471AC" w:rsidRPr="00F51B5F" w:rsidRDefault="00AC1906" w:rsidP="004471AC">
      <w:r>
        <w:t>Resolved, T</w:t>
      </w:r>
      <w:r w:rsidR="004471AC" w:rsidRPr="00F51B5F">
        <w:t xml:space="preserve">hat the Academic Senate for California Community Colleges reaffirm its support of and commitment to students who are attending our colleges under DACA; and </w:t>
      </w:r>
    </w:p>
    <w:p w14:paraId="72198979" w14:textId="77777777" w:rsidR="004471AC" w:rsidRDefault="004471AC" w:rsidP="004471AC"/>
    <w:p w14:paraId="7F2A9EEF" w14:textId="2FC038D2" w:rsidR="004471AC" w:rsidRDefault="004471AC" w:rsidP="004471AC">
      <w:r w:rsidRPr="00F51B5F">
        <w:t>Resolve</w:t>
      </w:r>
      <w:r w:rsidR="00AC1906">
        <w:t>d, T</w:t>
      </w:r>
      <w:r w:rsidRPr="00F51B5F">
        <w:t>hat the Academic Senate for California Community Colleges provide resources and assistance to colleges to ensure that they are able to assist their DACA students to reach their educational goals.</w:t>
      </w:r>
    </w:p>
    <w:p w14:paraId="58BBDD31" w14:textId="77777777" w:rsidR="004471AC" w:rsidRDefault="004471AC" w:rsidP="004471AC"/>
    <w:p w14:paraId="3A2192EB" w14:textId="775F476B" w:rsidR="004471AC" w:rsidRDefault="004471AC" w:rsidP="004471AC">
      <w:r>
        <w:t xml:space="preserve">Contact: Dolores Davison, </w:t>
      </w:r>
      <w:r w:rsidR="00AB2548">
        <w:t xml:space="preserve">Executive Committee, </w:t>
      </w:r>
      <w:r>
        <w:t xml:space="preserve">Equity and Diversity </w:t>
      </w:r>
      <w:r w:rsidR="0035759A">
        <w:t xml:space="preserve">Action </w:t>
      </w:r>
      <w:r>
        <w:t>Committee</w:t>
      </w:r>
    </w:p>
    <w:p w14:paraId="2F3D2E1B" w14:textId="77777777" w:rsidR="00E63D3B" w:rsidRPr="00C23000" w:rsidRDefault="00E63D3B" w:rsidP="00E63D3B"/>
    <w:p w14:paraId="491B5CB3" w14:textId="46E43D84" w:rsidR="006939AF" w:rsidRDefault="006939AF" w:rsidP="00AD32AE">
      <w:pPr>
        <w:pStyle w:val="Heading1SectionTitle"/>
      </w:pPr>
      <w:bookmarkStart w:id="51" w:name="_Toc494118131"/>
      <w:bookmarkStart w:id="52" w:name="_Toc494118186"/>
      <w:bookmarkStart w:id="53" w:name="_Toc494121954"/>
      <w:bookmarkStart w:id="54" w:name="_Toc494292598"/>
      <w:bookmarkStart w:id="55" w:name="_Toc494293712"/>
      <w:bookmarkStart w:id="56" w:name="_Toc494356235"/>
      <w:bookmarkStart w:id="57" w:name="_Toc494356793"/>
      <w:bookmarkStart w:id="58" w:name="_Toc494643107"/>
      <w:bookmarkStart w:id="59" w:name="_Toc494644350"/>
      <w:bookmarkStart w:id="60" w:name="_Toc494644626"/>
      <w:bookmarkStart w:id="61" w:name="_Toc494644751"/>
      <w:bookmarkStart w:id="62" w:name="_Toc494649693"/>
      <w:r>
        <w:t xml:space="preserve">4.0 </w:t>
      </w:r>
      <w:r w:rsidR="0084743B">
        <w:tab/>
      </w:r>
      <w:r>
        <w:t>ARTICULATION AND TRANSFER</w:t>
      </w:r>
      <w:bookmarkEnd w:id="4"/>
      <w:bookmarkEnd w:id="5"/>
      <w:bookmarkEnd w:id="51"/>
      <w:bookmarkEnd w:id="52"/>
      <w:bookmarkEnd w:id="53"/>
      <w:bookmarkEnd w:id="54"/>
      <w:bookmarkEnd w:id="55"/>
      <w:bookmarkEnd w:id="56"/>
      <w:bookmarkEnd w:id="57"/>
      <w:bookmarkEnd w:id="58"/>
      <w:bookmarkEnd w:id="59"/>
      <w:bookmarkEnd w:id="60"/>
      <w:bookmarkEnd w:id="61"/>
      <w:bookmarkEnd w:id="62"/>
    </w:p>
    <w:p w14:paraId="421B3698" w14:textId="040B37D1" w:rsidR="00BC52B6" w:rsidRDefault="009239D9" w:rsidP="00AD32AE">
      <w:pPr>
        <w:pStyle w:val="Heading2ResolutionTitle"/>
      </w:pPr>
      <w:bookmarkStart w:id="63" w:name="_Toc493230538"/>
      <w:bookmarkStart w:id="64" w:name="_Toc493230648"/>
      <w:bookmarkStart w:id="65" w:name="_Toc494118132"/>
      <w:bookmarkStart w:id="66" w:name="_Toc494118187"/>
      <w:bookmarkStart w:id="67" w:name="_Toc494121955"/>
      <w:bookmarkStart w:id="68" w:name="_Toc494292599"/>
      <w:bookmarkStart w:id="69" w:name="_Toc494293713"/>
      <w:bookmarkStart w:id="70" w:name="_Toc494356236"/>
      <w:bookmarkStart w:id="71" w:name="_Toc494356794"/>
      <w:bookmarkStart w:id="72" w:name="_Toc494643108"/>
      <w:bookmarkStart w:id="73" w:name="_Toc494644351"/>
      <w:bookmarkStart w:id="74" w:name="_Toc494644627"/>
      <w:bookmarkStart w:id="75" w:name="_Toc494644752"/>
      <w:bookmarkStart w:id="76" w:name="_Toc494649694"/>
      <w:r>
        <w:t>*</w:t>
      </w:r>
      <w:r w:rsidR="006939AF">
        <w:t>4.</w:t>
      </w:r>
      <w:r w:rsidR="00940775">
        <w:t>0</w:t>
      </w:r>
      <w:r w:rsidR="006939AF">
        <w:t>1</w:t>
      </w:r>
      <w:r w:rsidR="006939AF">
        <w:tab/>
        <w:t>F17</w:t>
      </w:r>
      <w:r w:rsidR="006939AF">
        <w:tab/>
      </w:r>
      <w:r w:rsidR="00BC52B6">
        <w:t>Support Students Transferring to UC, CSU, and Private and Out-of-State Institutions</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A19836E" w14:textId="11D8EF9D" w:rsidR="00FB54B0" w:rsidRDefault="00FB54B0" w:rsidP="00FB54B0">
      <w:r>
        <w:t xml:space="preserve">Whereas, At the September meeting, the Board of Governors adopted the </w:t>
      </w:r>
      <w:r w:rsidRPr="007A333E">
        <w:t>systemwide</w:t>
      </w:r>
      <w:r>
        <w:t xml:space="preserve"> goals outlined in the California Community Colleges </w:t>
      </w:r>
      <w:r w:rsidR="00AD4AF5">
        <w:t xml:space="preserve">(CCC) </w:t>
      </w:r>
      <w:r w:rsidRPr="0071329B">
        <w:rPr>
          <w:i/>
        </w:rPr>
        <w:t>Vision for Success</w:t>
      </w:r>
      <w:r>
        <w:t xml:space="preserve">, including goal which states “Increase by 35 percent the number of CCC students </w:t>
      </w:r>
      <w:r w:rsidR="007A333E">
        <w:t>system</w:t>
      </w:r>
      <w:r w:rsidRPr="007A333E">
        <w:t xml:space="preserve">wide </w:t>
      </w:r>
      <w:r>
        <w:t>transferring annually to a UC or CSU.”;</w:t>
      </w:r>
    </w:p>
    <w:p w14:paraId="1FD40AC6" w14:textId="77777777" w:rsidR="00FB54B0" w:rsidRDefault="00FB54B0" w:rsidP="00FB54B0"/>
    <w:p w14:paraId="24AE126B" w14:textId="5F4B89E9" w:rsidR="00FB54B0" w:rsidRDefault="00FB54B0" w:rsidP="00FB54B0">
      <w:r>
        <w:t xml:space="preserve">Whereas, The Associate Degrees for Transfer have created significant opportunities for California </w:t>
      </w:r>
      <w:r w:rsidR="00651131">
        <w:t>c</w:t>
      </w:r>
      <w:r>
        <w:t xml:space="preserve">ommunity </w:t>
      </w:r>
      <w:r w:rsidR="00651131">
        <w:t>c</w:t>
      </w:r>
      <w:r>
        <w:t>ollege students to transfer into the C</w:t>
      </w:r>
      <w:r w:rsidR="00D17138">
        <w:t xml:space="preserve">alifornia </w:t>
      </w:r>
      <w:r>
        <w:t>S</w:t>
      </w:r>
      <w:r w:rsidR="00D17138">
        <w:t xml:space="preserve">tate </w:t>
      </w:r>
      <w:r>
        <w:t>U</w:t>
      </w:r>
      <w:r w:rsidR="00D17138">
        <w:t>niversity (CSU)</w:t>
      </w:r>
      <w:r>
        <w:t xml:space="preserve"> system;</w:t>
      </w:r>
    </w:p>
    <w:p w14:paraId="45054719" w14:textId="77777777" w:rsidR="00FB54B0" w:rsidRDefault="00FB54B0" w:rsidP="00FB54B0"/>
    <w:p w14:paraId="768554B5" w14:textId="75D8563E" w:rsidR="00FB54B0" w:rsidRDefault="00FB54B0" w:rsidP="00FB54B0">
      <w:r>
        <w:t>Whereas, The Academic Senate for California Community Colleges and the Academic Senate for University of California</w:t>
      </w:r>
      <w:r w:rsidR="00AD4AF5">
        <w:t xml:space="preserve"> (UC)</w:t>
      </w:r>
      <w:r>
        <w:t xml:space="preserve">, in cooperation with the California Community College Chancellor’s Office and UC Office of the President, are facilitating the transfer of CCC students to the UC by establishing a pilot program that will </w:t>
      </w:r>
      <w:r w:rsidRPr="00471F29">
        <w:t>define</w:t>
      </w:r>
      <w:r>
        <w:t xml:space="preserve"> the parameters for local development of associate degrees based on the UC Transfer Pathways and include guaranteed admission to a UC campus for students who complete the degree with a minimum </w:t>
      </w:r>
      <w:r w:rsidR="00D17138">
        <w:t xml:space="preserve">grade point average </w:t>
      </w:r>
      <w:r w:rsidR="00440878">
        <w:t xml:space="preserve">in the </w:t>
      </w:r>
      <w:r w:rsidR="00D17138">
        <w:t>t</w:t>
      </w:r>
      <w:r w:rsidR="00440878">
        <w:t xml:space="preserve">ransfer </w:t>
      </w:r>
      <w:r w:rsidR="00D17138">
        <w:t>p</w:t>
      </w:r>
      <w:r w:rsidR="00440878">
        <w:t>athway courses</w:t>
      </w:r>
      <w:r>
        <w:t>; and</w:t>
      </w:r>
    </w:p>
    <w:p w14:paraId="740FA0A8" w14:textId="77777777" w:rsidR="00FB54B0" w:rsidRDefault="00FB54B0" w:rsidP="00FB54B0"/>
    <w:p w14:paraId="16934572" w14:textId="07717F70" w:rsidR="00FB54B0" w:rsidRDefault="00FB54B0" w:rsidP="00FB54B0">
      <w:r>
        <w:t>Whereas, Local community colleges establish transfer agreements with private and out-of-state institutions to serve students in attaining their educational goals</w:t>
      </w:r>
      <w:r w:rsidR="00A05DE9">
        <w:t>,</w:t>
      </w:r>
      <w:r w:rsidR="008D2B78">
        <w:t xml:space="preserve"> and the </w:t>
      </w:r>
      <w:r w:rsidR="005870F1">
        <w:t xml:space="preserve">California Community Colleges </w:t>
      </w:r>
      <w:r w:rsidR="008D2B78">
        <w:t>C</w:t>
      </w:r>
      <w:r w:rsidR="00AD4AF5">
        <w:t xml:space="preserve">hancellor’s </w:t>
      </w:r>
      <w:r w:rsidR="008D2B78">
        <w:t>O</w:t>
      </w:r>
      <w:r w:rsidR="00AD4AF5">
        <w:t>ffice</w:t>
      </w:r>
      <w:r w:rsidR="008D2B78">
        <w:t xml:space="preserve"> has established transfer agreements with</w:t>
      </w:r>
      <w:r w:rsidR="00A05DE9">
        <w:t xml:space="preserve"> </w:t>
      </w:r>
      <w:r w:rsidR="00E63BF0">
        <w:t>institutions such as H</w:t>
      </w:r>
      <w:r w:rsidR="00D17138">
        <w:t xml:space="preserve">istorically </w:t>
      </w:r>
      <w:r w:rsidR="00E63BF0">
        <w:t>B</w:t>
      </w:r>
      <w:r w:rsidR="00D17138">
        <w:t xml:space="preserve">lack </w:t>
      </w:r>
      <w:r w:rsidR="00E63BF0">
        <w:t>C</w:t>
      </w:r>
      <w:r w:rsidR="00D17138">
        <w:t xml:space="preserve">olleges and </w:t>
      </w:r>
      <w:r w:rsidR="00E63BF0">
        <w:t>U</w:t>
      </w:r>
      <w:r w:rsidR="00D17138">
        <w:t>niversitie</w:t>
      </w:r>
      <w:r w:rsidR="00E63BF0">
        <w:t>s</w:t>
      </w:r>
      <w:r w:rsidR="007A333E">
        <w:rPr>
          <w:rStyle w:val="FootnoteReference"/>
        </w:rPr>
        <w:footnoteReference w:id="2"/>
      </w:r>
      <w:r>
        <w:t>;</w:t>
      </w:r>
    </w:p>
    <w:p w14:paraId="2ADBD5FF" w14:textId="77777777" w:rsidR="00FB54B0" w:rsidRDefault="00FB54B0" w:rsidP="00FB54B0"/>
    <w:p w14:paraId="4EAD5839" w14:textId="77777777" w:rsidR="00FB54B0" w:rsidRDefault="00FB54B0" w:rsidP="00FB54B0">
      <w:r>
        <w:t>Resolved, That the Academic Senate for California Community Colleges support the increase in the number of students transferring to a University of California or California State University campus; and</w:t>
      </w:r>
    </w:p>
    <w:p w14:paraId="6B1E7293" w14:textId="77777777" w:rsidR="00FB54B0" w:rsidRDefault="00FB54B0" w:rsidP="00FB54B0"/>
    <w:p w14:paraId="0A1E5283" w14:textId="008D7275" w:rsidR="00FB54B0" w:rsidRDefault="00FB54B0" w:rsidP="00FB54B0">
      <w:r>
        <w:t>Resolved, That the Academic Senate for California Community Colleges affirm its support for students transferring to private</w:t>
      </w:r>
      <w:r w:rsidR="005C5CCF">
        <w:t xml:space="preserve"> non-profit</w:t>
      </w:r>
      <w:r>
        <w:t xml:space="preserve"> and out-of-state institutions.</w:t>
      </w:r>
    </w:p>
    <w:p w14:paraId="48502EA7" w14:textId="77777777" w:rsidR="00FB54B0" w:rsidRDefault="00FB54B0" w:rsidP="00FB54B0"/>
    <w:p w14:paraId="0760FD0F" w14:textId="0B706CDE" w:rsidR="0077475A" w:rsidRDefault="009314C4" w:rsidP="00FB54B0">
      <w:r>
        <w:t xml:space="preserve">Contact: </w:t>
      </w:r>
      <w:r w:rsidR="00FA5C7E">
        <w:t>Executive Committee</w:t>
      </w:r>
    </w:p>
    <w:p w14:paraId="4ED8C25C" w14:textId="77777777" w:rsidR="002714B5" w:rsidRDefault="002714B5" w:rsidP="00C23000"/>
    <w:p w14:paraId="53B0095C" w14:textId="042869CE" w:rsidR="002E31B2" w:rsidRDefault="002E31B2" w:rsidP="0061288E">
      <w:pPr>
        <w:pStyle w:val="Heading1SectionTitle"/>
      </w:pPr>
      <w:bookmarkStart w:id="77" w:name="_Toc494118133"/>
      <w:bookmarkStart w:id="78" w:name="_Toc494118188"/>
      <w:bookmarkStart w:id="79" w:name="_Toc494121956"/>
      <w:bookmarkStart w:id="80" w:name="_Toc494292600"/>
      <w:bookmarkStart w:id="81" w:name="_Toc494293714"/>
      <w:bookmarkStart w:id="82" w:name="_Toc494356237"/>
      <w:bookmarkStart w:id="83" w:name="_Toc494356795"/>
      <w:bookmarkStart w:id="84" w:name="_Toc494643109"/>
      <w:bookmarkStart w:id="85" w:name="_Toc494644352"/>
      <w:bookmarkStart w:id="86" w:name="_Toc494644628"/>
      <w:bookmarkStart w:id="87" w:name="_Toc494644753"/>
      <w:bookmarkStart w:id="88" w:name="_Toc494649695"/>
      <w:r>
        <w:t>7.0</w:t>
      </w:r>
      <w:r>
        <w:tab/>
      </w:r>
      <w:r w:rsidR="0061288E">
        <w:t>CONSULTATION WITH THE CHANCELLOR’S OFFICE</w:t>
      </w:r>
      <w:bookmarkEnd w:id="77"/>
      <w:bookmarkEnd w:id="78"/>
      <w:bookmarkEnd w:id="79"/>
      <w:bookmarkEnd w:id="80"/>
      <w:bookmarkEnd w:id="81"/>
      <w:bookmarkEnd w:id="82"/>
      <w:bookmarkEnd w:id="83"/>
      <w:bookmarkEnd w:id="84"/>
      <w:bookmarkEnd w:id="85"/>
      <w:bookmarkEnd w:id="86"/>
      <w:bookmarkEnd w:id="87"/>
      <w:bookmarkEnd w:id="88"/>
    </w:p>
    <w:p w14:paraId="4D378600" w14:textId="5A547C05" w:rsidR="002E31B2" w:rsidRPr="00F51B5F" w:rsidRDefault="004471AC" w:rsidP="0061288E">
      <w:pPr>
        <w:pStyle w:val="Heading2ResolutionTitle"/>
      </w:pPr>
      <w:bookmarkStart w:id="89" w:name="_Toc494118134"/>
      <w:bookmarkStart w:id="90" w:name="_Toc494118189"/>
      <w:bookmarkStart w:id="91" w:name="_Toc494121957"/>
      <w:bookmarkStart w:id="92" w:name="_Toc494292601"/>
      <w:bookmarkStart w:id="93" w:name="_Toc494293715"/>
      <w:bookmarkStart w:id="94" w:name="_Toc494356238"/>
      <w:bookmarkStart w:id="95" w:name="_Toc494356796"/>
      <w:bookmarkStart w:id="96" w:name="_Toc494643110"/>
      <w:bookmarkStart w:id="97" w:name="_Toc494644353"/>
      <w:bookmarkStart w:id="98" w:name="_Toc494644629"/>
      <w:bookmarkStart w:id="99" w:name="_Toc494644754"/>
      <w:bookmarkStart w:id="100" w:name="_Toc494649696"/>
      <w:r>
        <w:t>*</w:t>
      </w:r>
      <w:r w:rsidR="002E31B2">
        <w:t>7.01</w:t>
      </w:r>
      <w:r w:rsidR="002E31B2">
        <w:tab/>
      </w:r>
      <w:r w:rsidR="00777876">
        <w:t>F</w:t>
      </w:r>
      <w:r w:rsidR="00F65FA2">
        <w:t>17</w:t>
      </w:r>
      <w:r w:rsidR="00F65FA2">
        <w:tab/>
      </w:r>
      <w:r w:rsidR="002E31B2" w:rsidRPr="00F51B5F">
        <w:t>C</w:t>
      </w:r>
      <w:r w:rsidR="0014779B">
        <w:t>reating Guidelines for Veteran</w:t>
      </w:r>
      <w:r w:rsidR="002E31B2" w:rsidRPr="00F51B5F">
        <w:t xml:space="preserve"> Resource Centers</w:t>
      </w:r>
      <w:bookmarkEnd w:id="89"/>
      <w:bookmarkEnd w:id="90"/>
      <w:bookmarkEnd w:id="91"/>
      <w:bookmarkEnd w:id="92"/>
      <w:bookmarkEnd w:id="93"/>
      <w:bookmarkEnd w:id="94"/>
      <w:bookmarkEnd w:id="95"/>
      <w:bookmarkEnd w:id="96"/>
      <w:bookmarkEnd w:id="97"/>
      <w:bookmarkEnd w:id="98"/>
      <w:bookmarkEnd w:id="99"/>
      <w:bookmarkEnd w:id="100"/>
    </w:p>
    <w:p w14:paraId="6EFBBBA1" w14:textId="3FA729C4" w:rsidR="002E31B2" w:rsidRPr="00F51B5F" w:rsidRDefault="002E31B2" w:rsidP="002E31B2">
      <w:r w:rsidRPr="00F51B5F">
        <w:t xml:space="preserve">Whereas, </w:t>
      </w:r>
      <w:r w:rsidR="002C59D4">
        <w:t>A</w:t>
      </w:r>
      <w:r w:rsidRPr="00F51B5F">
        <w:t>pproximately 89,000 veterans and their dependents attended a California community college during the 2015-16 academic year</w:t>
      </w:r>
      <w:r w:rsidRPr="00F51B5F">
        <w:rPr>
          <w:rStyle w:val="FootnoteReference"/>
        </w:rPr>
        <w:footnoteReference w:id="3"/>
      </w:r>
      <w:r w:rsidRPr="00F51B5F">
        <w:t>;</w:t>
      </w:r>
    </w:p>
    <w:p w14:paraId="4A5A037A" w14:textId="77777777" w:rsidR="002E31B2" w:rsidRPr="00F51B5F" w:rsidRDefault="002E31B2" w:rsidP="002E31B2"/>
    <w:p w14:paraId="7A44400D" w14:textId="2832A95B" w:rsidR="002E31B2" w:rsidRPr="00F51B5F" w:rsidRDefault="002E31B2" w:rsidP="002E31B2">
      <w:r w:rsidRPr="00F51B5F">
        <w:t>Whereas, S</w:t>
      </w:r>
      <w:r w:rsidR="002C59D4">
        <w:t xml:space="preserve">enate </w:t>
      </w:r>
      <w:r w:rsidRPr="00F51B5F">
        <w:t>B</w:t>
      </w:r>
      <w:r w:rsidR="002C59D4">
        <w:t>ill</w:t>
      </w:r>
      <w:r w:rsidRPr="00F51B5F">
        <w:t xml:space="preserve"> 694 (Newman, as of September </w:t>
      </w:r>
      <w:r w:rsidR="00AD4AF5">
        <w:t xml:space="preserve">21, </w:t>
      </w:r>
      <w:r w:rsidRPr="00F51B5F">
        <w:t xml:space="preserve">2017) would require that all California community colleges, “ensure that each of its campuses provides a dedicated on-campus Veteran Resource Center that offers services to help student veterans transition successfully from military life to educational success through the core components of academics, wellness, and camaraderie”; and </w:t>
      </w:r>
    </w:p>
    <w:p w14:paraId="275A1FAC" w14:textId="77777777" w:rsidR="002E31B2" w:rsidRPr="00F51B5F" w:rsidRDefault="002E31B2" w:rsidP="002E31B2"/>
    <w:p w14:paraId="477DC128" w14:textId="0AFA1A39" w:rsidR="002E31B2" w:rsidRPr="00F51B5F" w:rsidRDefault="002E31B2" w:rsidP="002E31B2">
      <w:r w:rsidRPr="00F51B5F">
        <w:t xml:space="preserve">Whereas, </w:t>
      </w:r>
      <w:r w:rsidR="002C59D4">
        <w:t>M</w:t>
      </w:r>
      <w:r w:rsidRPr="00F51B5F">
        <w:t>any colleges</w:t>
      </w:r>
      <w:r w:rsidR="0014779B">
        <w:t xml:space="preserve"> would benefit from information</w:t>
      </w:r>
      <w:r w:rsidRPr="00F51B5F">
        <w:t xml:space="preserve"> </w:t>
      </w:r>
      <w:r w:rsidR="0014779B">
        <w:t>regarding how to establish</w:t>
      </w:r>
      <w:r w:rsidRPr="00F51B5F">
        <w:t xml:space="preserve"> </w:t>
      </w:r>
      <w:r w:rsidR="0014779B">
        <w:t>veteran resource centers</w:t>
      </w:r>
      <w:r w:rsidRPr="00F51B5F">
        <w:t>;</w:t>
      </w:r>
    </w:p>
    <w:p w14:paraId="3E67F3CC" w14:textId="77777777" w:rsidR="002E31B2" w:rsidRPr="00F51B5F" w:rsidRDefault="002E31B2" w:rsidP="002E31B2"/>
    <w:p w14:paraId="3500B1E7" w14:textId="37CCC444" w:rsidR="002E31B2" w:rsidRPr="00F51B5F" w:rsidRDefault="002E31B2" w:rsidP="002E31B2">
      <w:r w:rsidRPr="00F51B5F">
        <w:t xml:space="preserve">Resolved, </w:t>
      </w:r>
      <w:r w:rsidR="002C59D4">
        <w:t>T</w:t>
      </w:r>
      <w:r w:rsidRPr="00F51B5F">
        <w:t>hat the Academic Senate for California Community Colleges research effective p</w:t>
      </w:r>
      <w:r w:rsidR="00362114">
        <w:t>ractices and models of veteran</w:t>
      </w:r>
      <w:r w:rsidRPr="00F51B5F">
        <w:t xml:space="preserve"> resource centers that exist in California and at other community colleges nationwide; and  </w:t>
      </w:r>
    </w:p>
    <w:p w14:paraId="76B5A7C2" w14:textId="77777777" w:rsidR="002E31B2" w:rsidRPr="00F51B5F" w:rsidRDefault="002E31B2" w:rsidP="002E31B2"/>
    <w:p w14:paraId="31F1AA33" w14:textId="45922A16" w:rsidR="002E31B2" w:rsidRDefault="002E31B2" w:rsidP="002E31B2">
      <w:r w:rsidRPr="00F51B5F">
        <w:t xml:space="preserve">Resolved, </w:t>
      </w:r>
      <w:r w:rsidR="002C59D4">
        <w:t>T</w:t>
      </w:r>
      <w:r w:rsidRPr="00F51B5F">
        <w:t>hat the Academic Senate for California Community Colleges work with the Chancellor’s Office and other interested stakeholders to create guidelines fo</w:t>
      </w:r>
      <w:r w:rsidR="00362114">
        <w:t>r the establishment of veteran</w:t>
      </w:r>
      <w:r w:rsidRPr="00F51B5F">
        <w:t xml:space="preserve"> resource centers at all 114 colleges in the California Community College System.</w:t>
      </w:r>
    </w:p>
    <w:p w14:paraId="27BDD4D5" w14:textId="77777777" w:rsidR="006C7EC2" w:rsidRDefault="006C7EC2" w:rsidP="002E31B2"/>
    <w:p w14:paraId="4AD51F53" w14:textId="6FF6A19C" w:rsidR="002E31B2" w:rsidRDefault="00B1318F" w:rsidP="00C23000">
      <w:r>
        <w:t>Contact: Michael Wyly</w:t>
      </w:r>
      <w:r w:rsidR="006C7EC2">
        <w:t xml:space="preserve">, </w:t>
      </w:r>
      <w:r w:rsidR="00E07F0C">
        <w:t xml:space="preserve">Solano Community College, </w:t>
      </w:r>
      <w:r w:rsidR="006C7EC2">
        <w:t xml:space="preserve">Equity and Diversity </w:t>
      </w:r>
      <w:r w:rsidR="00651131">
        <w:t xml:space="preserve">Action </w:t>
      </w:r>
      <w:r w:rsidR="006C7EC2">
        <w:t>Committee</w:t>
      </w:r>
    </w:p>
    <w:p w14:paraId="0A94DE3E" w14:textId="77777777" w:rsidR="00FD3BCD" w:rsidRDefault="00FD3BCD" w:rsidP="00C23000"/>
    <w:p w14:paraId="11379DC7" w14:textId="7066164A" w:rsidR="007A333E" w:rsidRPr="000E462A" w:rsidRDefault="008D6F4F" w:rsidP="007A333E">
      <w:pPr>
        <w:pStyle w:val="Heading2ResolutionTitle"/>
        <w:rPr>
          <w:color w:val="FFFFFF" w:themeColor="background1"/>
        </w:rPr>
      </w:pPr>
      <w:bookmarkStart w:id="101" w:name="_Toc494644354"/>
      <w:bookmarkStart w:id="102" w:name="_Toc494644630"/>
      <w:bookmarkStart w:id="103" w:name="_Toc494644755"/>
      <w:bookmarkStart w:id="104" w:name="_Toc494649697"/>
      <w:r w:rsidRPr="007A333E">
        <w:t>*7.02</w:t>
      </w:r>
      <w:r w:rsidRPr="007A333E">
        <w:tab/>
        <w:t>F17</w:t>
      </w:r>
      <w:r w:rsidRPr="007A333E">
        <w:tab/>
        <w:t>Identify and Remove Barriers to Offering Noncredit Distance Education Courses</w:t>
      </w:r>
      <w:bookmarkEnd w:id="101"/>
      <w:bookmarkEnd w:id="102"/>
      <w:r w:rsidR="000E462A">
        <w:rPr>
          <w:color w:val="FFFFFF" w:themeColor="background1"/>
        </w:rPr>
        <w:t>……</w:t>
      </w:r>
      <w:bookmarkEnd w:id="103"/>
      <w:bookmarkEnd w:id="104"/>
    </w:p>
    <w:p w14:paraId="1DACA074" w14:textId="627C40C9" w:rsidR="00FD3BCD" w:rsidRPr="00406F8C" w:rsidRDefault="007A333E" w:rsidP="00FD3BCD">
      <w:pPr>
        <w:rPr>
          <w:rFonts w:cs="Times New Roman"/>
        </w:rPr>
      </w:pPr>
      <w:r>
        <w:rPr>
          <w:rFonts w:cs="Times New Roman"/>
        </w:rPr>
        <w:t>Whereas, There</w:t>
      </w:r>
      <w:r w:rsidR="00FD3BCD" w:rsidRPr="00406F8C">
        <w:rPr>
          <w:rFonts w:cs="Times New Roman"/>
        </w:rPr>
        <w:t xml:space="preserve"> is increased interest in expanding noncredit course offerings as a means to provide students who are not college-ready with pathways into college programs of study that lead to transfer and/or employment;</w:t>
      </w:r>
    </w:p>
    <w:p w14:paraId="02944EB9" w14:textId="77777777" w:rsidR="00FD3BCD" w:rsidRDefault="00FD3BCD" w:rsidP="00FD3BCD">
      <w:pPr>
        <w:rPr>
          <w:rFonts w:cs="Times New Roman"/>
        </w:rPr>
      </w:pPr>
    </w:p>
    <w:p w14:paraId="0E9CB4C0" w14:textId="77777777" w:rsidR="00FD3BCD" w:rsidRDefault="00FD3BCD" w:rsidP="00FD3BCD">
      <w:pPr>
        <w:rPr>
          <w:rFonts w:cs="Times New Roman"/>
        </w:rPr>
      </w:pPr>
      <w:r>
        <w:rPr>
          <w:rFonts w:cs="Times New Roman"/>
        </w:rPr>
        <w:t>Whereas, A recent survey conducted by the San Diego School of Continuing Education Office of Institutional Effectiveness on noncredit offerings in the California community colleges revealed that while 104 colleges offer distance education courses (credit or noncredit), only 29 of those institutions offer noncredit instruction via distance education</w:t>
      </w:r>
      <w:r>
        <w:rPr>
          <w:rStyle w:val="FootnoteReference"/>
          <w:rFonts w:cs="Times New Roman"/>
        </w:rPr>
        <w:footnoteReference w:id="4"/>
      </w:r>
      <w:r>
        <w:rPr>
          <w:rFonts w:cs="Times New Roman"/>
        </w:rPr>
        <w:t xml:space="preserve">, signifying a significant and inequitable difference in access to distance education opportunities for credit and noncredit student populations; </w:t>
      </w:r>
    </w:p>
    <w:p w14:paraId="2CCEDD4E" w14:textId="77777777" w:rsidR="00FD3BCD" w:rsidRPr="00406F8C" w:rsidRDefault="00FD3BCD" w:rsidP="00FD3BCD">
      <w:pPr>
        <w:rPr>
          <w:rFonts w:cs="Times New Roman"/>
        </w:rPr>
      </w:pPr>
    </w:p>
    <w:p w14:paraId="170CC29E" w14:textId="77777777" w:rsidR="00FD3BCD" w:rsidRPr="00406F8C" w:rsidRDefault="00FD3BCD" w:rsidP="00FD3BCD">
      <w:pPr>
        <w:rPr>
          <w:rFonts w:cs="Times New Roman"/>
        </w:rPr>
      </w:pPr>
      <w:r w:rsidRPr="00406F8C">
        <w:rPr>
          <w:rFonts w:cs="Times New Roman"/>
        </w:rPr>
        <w:t xml:space="preserve">Whereas, The required method for calculating weekly student contact hours (WSCH) for noncredit distance education courses stated in Title 5 </w:t>
      </w:r>
      <w:r>
        <w:rPr>
          <w:rFonts w:cs="Times New Roman"/>
        </w:rPr>
        <w:t>§</w:t>
      </w:r>
      <w:r w:rsidRPr="00406F8C">
        <w:rPr>
          <w:rFonts w:cs="Times New Roman"/>
        </w:rPr>
        <w:t>58003.1(f)</w:t>
      </w:r>
      <w:r>
        <w:rPr>
          <w:rStyle w:val="FootnoteReference"/>
          <w:rFonts w:cs="Times New Roman"/>
        </w:rPr>
        <w:footnoteReference w:id="5"/>
      </w:r>
      <w:r w:rsidRPr="00406F8C">
        <w:rPr>
          <w:rFonts w:cs="Times New Roman"/>
        </w:rPr>
        <w:t>, which includes accounting for the total hours of outside-of-class work and instructor contact in addition to the total hours of instruction, are confusing because outside-of-class-work is not a required element of noncredit course outlines of record</w:t>
      </w:r>
      <w:r>
        <w:rPr>
          <w:rFonts w:cs="Times New Roman"/>
        </w:rPr>
        <w:t xml:space="preserve"> per Title 5 §55002(c)</w:t>
      </w:r>
      <w:r>
        <w:rPr>
          <w:rStyle w:val="FootnoteReference"/>
          <w:rFonts w:cs="Times New Roman"/>
        </w:rPr>
        <w:footnoteReference w:id="6"/>
      </w:r>
      <w:r w:rsidRPr="00406F8C">
        <w:rPr>
          <w:rFonts w:cs="Times New Roman"/>
        </w:rPr>
        <w:t xml:space="preserve"> and instructor contact is typically not quantified by curriculum committees </w:t>
      </w:r>
      <w:r>
        <w:rPr>
          <w:rFonts w:cs="Times New Roman"/>
        </w:rPr>
        <w:t>separately from the</w:t>
      </w:r>
      <w:r w:rsidRPr="00406F8C">
        <w:rPr>
          <w:rFonts w:cs="Times New Roman"/>
        </w:rPr>
        <w:t xml:space="preserve"> total hours of instruction</w:t>
      </w:r>
      <w:r>
        <w:rPr>
          <w:rFonts w:cs="Times New Roman"/>
        </w:rPr>
        <w:t xml:space="preserve"> required by Title 5 §55002(c)</w:t>
      </w:r>
      <w:r w:rsidRPr="00406F8C">
        <w:rPr>
          <w:rFonts w:cs="Times New Roman"/>
        </w:rPr>
        <w:t>;</w:t>
      </w:r>
    </w:p>
    <w:p w14:paraId="5F92F399" w14:textId="77777777" w:rsidR="00FD3BCD" w:rsidRPr="00406F8C" w:rsidRDefault="00FD3BCD" w:rsidP="00FD3BCD">
      <w:pPr>
        <w:rPr>
          <w:rFonts w:cs="Times New Roman"/>
        </w:rPr>
      </w:pPr>
    </w:p>
    <w:p w14:paraId="23982A5F" w14:textId="77777777" w:rsidR="00FD3BCD" w:rsidRPr="00406F8C" w:rsidRDefault="00FD3BCD" w:rsidP="00FD3BCD">
      <w:pPr>
        <w:rPr>
          <w:rFonts w:cs="Times New Roman"/>
        </w:rPr>
      </w:pPr>
      <w:r w:rsidRPr="00406F8C">
        <w:rPr>
          <w:rFonts w:cs="Times New Roman"/>
        </w:rPr>
        <w:t xml:space="preserve">Whereas, The method for calculating WSCH for noncredit distance education courses in Title 5 </w:t>
      </w:r>
      <w:r>
        <w:rPr>
          <w:rFonts w:cs="Times New Roman"/>
        </w:rPr>
        <w:t>§</w:t>
      </w:r>
      <w:r w:rsidRPr="00406F8C">
        <w:rPr>
          <w:rFonts w:cs="Times New Roman"/>
        </w:rPr>
        <w:t>58003.1</w:t>
      </w:r>
      <w:r>
        <w:rPr>
          <w:rFonts w:cs="Times New Roman"/>
        </w:rPr>
        <w:t>(f)</w:t>
      </w:r>
      <w:r w:rsidRPr="00406F8C">
        <w:rPr>
          <w:rFonts w:cs="Times New Roman"/>
        </w:rPr>
        <w:t xml:space="preserve"> may not be well understood and </w:t>
      </w:r>
      <w:r>
        <w:rPr>
          <w:rFonts w:cs="Times New Roman"/>
        </w:rPr>
        <w:t xml:space="preserve">thus </w:t>
      </w:r>
      <w:r w:rsidRPr="00406F8C">
        <w:rPr>
          <w:rFonts w:cs="Times New Roman"/>
        </w:rPr>
        <w:t>may be regarded as a fiscal disincentive to offering distance education noncredit courses, thus creating barriers to access to students who may benefit from such educational opportunities that could provide a pathway to transfer and/or employment;</w:t>
      </w:r>
    </w:p>
    <w:p w14:paraId="1F9E46AC" w14:textId="77777777" w:rsidR="00FD3BCD" w:rsidRPr="00406F8C" w:rsidRDefault="00FD3BCD" w:rsidP="00FD3BCD">
      <w:pPr>
        <w:rPr>
          <w:rFonts w:cs="Times New Roman"/>
        </w:rPr>
      </w:pPr>
    </w:p>
    <w:p w14:paraId="1609E4E4" w14:textId="77777777" w:rsidR="00FD3BCD" w:rsidRPr="00406F8C" w:rsidRDefault="00FD3BCD" w:rsidP="00FD3BCD">
      <w:pPr>
        <w:rPr>
          <w:rFonts w:cs="Times New Roman"/>
        </w:rPr>
      </w:pPr>
      <w:r w:rsidRPr="00406F8C">
        <w:rPr>
          <w:rFonts w:cs="Times New Roman"/>
        </w:rPr>
        <w:t xml:space="preserve">Resolved, That the Academic Senate for California Community Colleges work with the </w:t>
      </w:r>
      <w:r>
        <w:rPr>
          <w:rFonts w:cs="Times New Roman"/>
        </w:rPr>
        <w:t xml:space="preserve">California Community Colleges </w:t>
      </w:r>
      <w:r w:rsidRPr="00406F8C">
        <w:rPr>
          <w:rFonts w:cs="Times New Roman"/>
        </w:rPr>
        <w:t>Chancellor’s Office and other system partners to identify and eliminate</w:t>
      </w:r>
      <w:r>
        <w:rPr>
          <w:rFonts w:cs="Times New Roman"/>
        </w:rPr>
        <w:t xml:space="preserve"> regulatory and fiscal</w:t>
      </w:r>
      <w:r w:rsidRPr="00406F8C">
        <w:rPr>
          <w:rFonts w:cs="Times New Roman"/>
        </w:rPr>
        <w:t xml:space="preserve"> barriers to </w:t>
      </w:r>
      <w:r>
        <w:rPr>
          <w:rFonts w:cs="Times New Roman"/>
        </w:rPr>
        <w:t xml:space="preserve">offering </w:t>
      </w:r>
      <w:r w:rsidRPr="00406F8C">
        <w:rPr>
          <w:rFonts w:cs="Times New Roman"/>
        </w:rPr>
        <w:t>noncredit courses via distance education</w:t>
      </w:r>
      <w:r>
        <w:rPr>
          <w:rFonts w:cs="Times New Roman"/>
        </w:rPr>
        <w:t>.</w:t>
      </w:r>
    </w:p>
    <w:p w14:paraId="149EBF58" w14:textId="77777777" w:rsidR="00FD3BCD" w:rsidRPr="00406F8C" w:rsidRDefault="00FD3BCD" w:rsidP="00FD3BCD">
      <w:pPr>
        <w:rPr>
          <w:rFonts w:cs="Times New Roman"/>
        </w:rPr>
      </w:pPr>
    </w:p>
    <w:p w14:paraId="0C1EA354" w14:textId="4A1D5B86" w:rsidR="00FD3BCD" w:rsidRDefault="00FD3BCD" w:rsidP="00FD3BCD">
      <w:r w:rsidRPr="00406F8C">
        <w:rPr>
          <w:rFonts w:cs="Times New Roman"/>
        </w:rPr>
        <w:t>Contact:</w:t>
      </w:r>
      <w:r>
        <w:rPr>
          <w:rFonts w:cs="Times New Roman"/>
        </w:rPr>
        <w:t xml:space="preserve"> Curt</w:t>
      </w:r>
      <w:r w:rsidR="00E07F0C">
        <w:rPr>
          <w:rFonts w:cs="Times New Roman"/>
        </w:rPr>
        <w:t>is Martin, Modesto Junior College, Noncredit Committee</w:t>
      </w:r>
    </w:p>
    <w:p w14:paraId="4241E407" w14:textId="77777777" w:rsidR="00B67AA8" w:rsidRDefault="00B67AA8" w:rsidP="00C23000"/>
    <w:p w14:paraId="74D5AAF2" w14:textId="648FEA70" w:rsidR="00B67AA8" w:rsidRDefault="0061288E" w:rsidP="0061288E">
      <w:pPr>
        <w:pStyle w:val="Heading1SectionTitle"/>
      </w:pPr>
      <w:bookmarkStart w:id="105" w:name="_Toc494118135"/>
      <w:bookmarkStart w:id="106" w:name="_Toc494118190"/>
      <w:bookmarkStart w:id="107" w:name="_Toc494121958"/>
      <w:bookmarkStart w:id="108" w:name="_Toc494292602"/>
      <w:bookmarkStart w:id="109" w:name="_Toc494293716"/>
      <w:bookmarkStart w:id="110" w:name="_Toc494356239"/>
      <w:bookmarkStart w:id="111" w:name="_Toc494356797"/>
      <w:bookmarkStart w:id="112" w:name="_Toc494643112"/>
      <w:bookmarkStart w:id="113" w:name="_Toc494644355"/>
      <w:bookmarkStart w:id="114" w:name="_Toc494644631"/>
      <w:bookmarkStart w:id="115" w:name="_Toc494644756"/>
      <w:bookmarkStart w:id="116" w:name="_Toc494649698"/>
      <w:r>
        <w:t>9.0</w:t>
      </w:r>
      <w:r>
        <w:tab/>
        <w:t>CURRICULUM</w:t>
      </w:r>
      <w:bookmarkEnd w:id="105"/>
      <w:bookmarkEnd w:id="106"/>
      <w:bookmarkEnd w:id="107"/>
      <w:bookmarkEnd w:id="108"/>
      <w:bookmarkEnd w:id="109"/>
      <w:bookmarkEnd w:id="110"/>
      <w:bookmarkEnd w:id="111"/>
      <w:bookmarkEnd w:id="112"/>
      <w:bookmarkEnd w:id="113"/>
      <w:bookmarkEnd w:id="114"/>
      <w:bookmarkEnd w:id="115"/>
      <w:bookmarkEnd w:id="116"/>
    </w:p>
    <w:p w14:paraId="4B3D1FD6" w14:textId="1212E39E" w:rsidR="00210AE7" w:rsidRDefault="00B67AA8" w:rsidP="001F19DE">
      <w:pPr>
        <w:pStyle w:val="Heading2ResolutionTitle"/>
      </w:pPr>
      <w:bookmarkStart w:id="117" w:name="_Toc494121959"/>
      <w:bookmarkStart w:id="118" w:name="_Toc494118136"/>
      <w:bookmarkStart w:id="119" w:name="_Toc494118191"/>
      <w:bookmarkStart w:id="120" w:name="_Toc494292603"/>
      <w:bookmarkStart w:id="121" w:name="_Toc494293717"/>
      <w:bookmarkStart w:id="122" w:name="_Toc494356240"/>
      <w:bookmarkStart w:id="123" w:name="_Toc494356798"/>
      <w:bookmarkStart w:id="124" w:name="_Toc494643113"/>
      <w:bookmarkStart w:id="125" w:name="_Toc494644356"/>
      <w:bookmarkStart w:id="126" w:name="_Toc494644632"/>
      <w:bookmarkStart w:id="127" w:name="_Toc494644757"/>
      <w:bookmarkStart w:id="128" w:name="_Toc494649699"/>
      <w:r>
        <w:t>*9.01</w:t>
      </w:r>
      <w:bookmarkEnd w:id="117"/>
      <w:r>
        <w:tab/>
      </w:r>
      <w:bookmarkEnd w:id="118"/>
      <w:bookmarkEnd w:id="119"/>
      <w:r w:rsidR="00F65FA2">
        <w:t>F17</w:t>
      </w:r>
      <w:r w:rsidR="00F65FA2">
        <w:tab/>
      </w:r>
      <w:r w:rsidR="00210AE7">
        <w:t>College Autonomy and Faculty Purview for Determining Meta Majors or Areas of Focus</w:t>
      </w:r>
      <w:bookmarkEnd w:id="120"/>
      <w:bookmarkEnd w:id="121"/>
      <w:bookmarkEnd w:id="122"/>
      <w:bookmarkEnd w:id="123"/>
      <w:bookmarkEnd w:id="124"/>
      <w:bookmarkEnd w:id="125"/>
      <w:bookmarkEnd w:id="126"/>
      <w:bookmarkEnd w:id="127"/>
      <w:bookmarkEnd w:id="128"/>
    </w:p>
    <w:p w14:paraId="7B3F2464" w14:textId="77777777" w:rsidR="00210AE7" w:rsidRPr="00873F2B" w:rsidRDefault="00210AE7" w:rsidP="00210AE7">
      <w:pPr>
        <w:rPr>
          <w:rFonts w:eastAsia="Times New Roman"/>
          <w:color w:val="212121"/>
          <w:shd w:val="clear" w:color="auto" w:fill="FFFFFF"/>
        </w:rPr>
      </w:pPr>
      <w:r>
        <w:t>Whereas, Title 5 §53200 defines academic and professional matters to include degree and certificate requirements and educational program development and Title 5 §53203 requires “</w:t>
      </w:r>
      <w:r w:rsidRPr="008516C4">
        <w:rPr>
          <w:rFonts w:eastAsia="Times New Roman"/>
          <w:color w:val="212121"/>
          <w:shd w:val="clear" w:color="auto" w:fill="FFFFFF"/>
        </w:rPr>
        <w:t>the governing board or its designees will consult collegially with the academic senate when adopting policies and procedures on academic and professional matters</w:t>
      </w:r>
      <w:r>
        <w:rPr>
          <w:rFonts w:eastAsia="Times New Roman"/>
          <w:color w:val="212121"/>
          <w:shd w:val="clear" w:color="auto" w:fill="FFFFFF"/>
        </w:rPr>
        <w:t>”</w:t>
      </w:r>
      <w:r>
        <w:t>;</w:t>
      </w:r>
    </w:p>
    <w:p w14:paraId="4063FF13" w14:textId="77777777" w:rsidR="00210AE7" w:rsidRDefault="00210AE7" w:rsidP="00210AE7"/>
    <w:p w14:paraId="573D584A" w14:textId="77777777" w:rsidR="00210AE7" w:rsidRDefault="00210AE7" w:rsidP="00210AE7">
      <w:r>
        <w:t>Whereas, A “meta major” or an “area of focus”, a recommended element of the guided pathways framework, is a grouping of majors in a broad field of interest for students who have not decided upon a specific major, but are looking to sample some courses in an area of interest</w:t>
      </w:r>
      <w:r>
        <w:rPr>
          <w:rStyle w:val="FootnoteReference"/>
        </w:rPr>
        <w:footnoteReference w:id="7"/>
      </w:r>
      <w:r>
        <w:t xml:space="preserve">; and  </w:t>
      </w:r>
    </w:p>
    <w:p w14:paraId="6770E74C" w14:textId="77777777" w:rsidR="00210AE7" w:rsidRDefault="00210AE7" w:rsidP="00210AE7"/>
    <w:p w14:paraId="71663555" w14:textId="3B6B9E3E" w:rsidR="00210AE7" w:rsidRDefault="00210AE7" w:rsidP="00210AE7">
      <w:r>
        <w:t>Whereas, Coll</w:t>
      </w:r>
      <w:r w:rsidR="000A3C8B">
        <w:t>eges nation-wide are determining locally</w:t>
      </w:r>
      <w:r>
        <w:t xml:space="preserve"> </w:t>
      </w:r>
      <w:r w:rsidR="00AA7175">
        <w:t>“</w:t>
      </w:r>
      <w:r>
        <w:t>meta majors</w:t>
      </w:r>
      <w:r w:rsidR="00AA7175">
        <w:t>”</w:t>
      </w:r>
      <w:r>
        <w:t xml:space="preserve"> or </w:t>
      </w:r>
      <w:r w:rsidR="00EA5F33">
        <w:t>“</w:t>
      </w:r>
      <w:r>
        <w:t>areas of focus</w:t>
      </w:r>
      <w:r w:rsidR="00EA5F33">
        <w:t>”</w:t>
      </w:r>
      <w:r w:rsidR="007E0A76">
        <w:t xml:space="preserve"> to support</w:t>
      </w:r>
      <w:r>
        <w:t xml:space="preserve"> local programs, community needs, and student</w:t>
      </w:r>
      <w:r w:rsidR="00195597">
        <w:t xml:space="preserve"> interest</w:t>
      </w:r>
      <w:r>
        <w:rPr>
          <w:rStyle w:val="FootnoteReference"/>
        </w:rPr>
        <w:footnoteReference w:id="8"/>
      </w:r>
      <w:r>
        <w:t>;</w:t>
      </w:r>
    </w:p>
    <w:p w14:paraId="7918FF34" w14:textId="77777777" w:rsidR="00210AE7" w:rsidRDefault="00210AE7" w:rsidP="00210AE7"/>
    <w:p w14:paraId="4F035B83" w14:textId="40E74E56" w:rsidR="00210AE7" w:rsidRDefault="00210AE7" w:rsidP="00210AE7">
      <w:r>
        <w:t xml:space="preserve">Resolved, That the Academic Senate for California Community Colleges urge local senates to assert that determining the content, categories, and titles of the </w:t>
      </w:r>
      <w:r w:rsidR="00EA5F33">
        <w:t>“</w:t>
      </w:r>
      <w:r>
        <w:t>meta majors</w:t>
      </w:r>
      <w:r w:rsidR="00EA5F33">
        <w:t>”</w:t>
      </w:r>
      <w:r>
        <w:t xml:space="preserve"> or </w:t>
      </w:r>
      <w:r w:rsidR="00EA5F33">
        <w:t>“</w:t>
      </w:r>
      <w:r>
        <w:t>areas of focus</w:t>
      </w:r>
      <w:r w:rsidR="00EA5F33">
        <w:t>”</w:t>
      </w:r>
      <w:r>
        <w:t xml:space="preserve"> is a local curricular and educational program decision that falls within academic senate purview a</w:t>
      </w:r>
      <w:r w:rsidR="003C28EA">
        <w:t>s defined by Title 5 §53200.</w:t>
      </w:r>
    </w:p>
    <w:p w14:paraId="0DE4F22D" w14:textId="77777777" w:rsidR="001F19DE" w:rsidRDefault="001F19DE" w:rsidP="00210AE7"/>
    <w:p w14:paraId="232B6950" w14:textId="70D1038D" w:rsidR="001F19DE" w:rsidRDefault="00A03E70" w:rsidP="00210AE7">
      <w:r>
        <w:t>Contact: Executive Committee</w:t>
      </w:r>
    </w:p>
    <w:p w14:paraId="63A7F6B4" w14:textId="77777777" w:rsidR="008D6F4F" w:rsidRDefault="008D6F4F" w:rsidP="00210AE7"/>
    <w:p w14:paraId="3DB03E91" w14:textId="687E63BC" w:rsidR="008D6F4F" w:rsidRDefault="008D6F4F" w:rsidP="00977CFA">
      <w:pPr>
        <w:pStyle w:val="Heading1SectionTitle"/>
      </w:pPr>
      <w:bookmarkStart w:id="129" w:name="_Toc494644357"/>
      <w:bookmarkStart w:id="130" w:name="_Toc494644633"/>
      <w:bookmarkStart w:id="131" w:name="_Toc494644758"/>
      <w:bookmarkStart w:id="132" w:name="_Toc494649700"/>
      <w:r>
        <w:t>10.0</w:t>
      </w:r>
      <w:r>
        <w:tab/>
        <w:t>DISCIPLINES LIST</w:t>
      </w:r>
      <w:bookmarkEnd w:id="129"/>
      <w:bookmarkEnd w:id="130"/>
      <w:bookmarkEnd w:id="131"/>
      <w:bookmarkEnd w:id="132"/>
    </w:p>
    <w:p w14:paraId="5700E75A" w14:textId="11253BF5" w:rsidR="00977CFA" w:rsidRPr="00443E0A" w:rsidRDefault="00977CFA" w:rsidP="00977CFA">
      <w:pPr>
        <w:pStyle w:val="Heading2ResolutionTitle"/>
      </w:pPr>
      <w:bookmarkStart w:id="133" w:name="_Toc494644358"/>
      <w:bookmarkStart w:id="134" w:name="_Toc494644634"/>
      <w:bookmarkStart w:id="135" w:name="_Toc494644759"/>
      <w:bookmarkStart w:id="136" w:name="_Toc494649701"/>
      <w:r>
        <w:t>*10.01</w:t>
      </w:r>
      <w:r>
        <w:tab/>
      </w:r>
      <w:r w:rsidR="004F4418">
        <w:t>F</w:t>
      </w:r>
      <w:r>
        <w:t>17</w:t>
      </w:r>
      <w:r>
        <w:tab/>
      </w:r>
      <w:r w:rsidRPr="00443E0A">
        <w:t>Revise the Minimum Qualifications for Credit Apprenticeship Faculty</w:t>
      </w:r>
      <w:bookmarkEnd w:id="133"/>
      <w:bookmarkEnd w:id="134"/>
      <w:bookmarkEnd w:id="135"/>
      <w:bookmarkEnd w:id="136"/>
    </w:p>
    <w:p w14:paraId="2F5AFA95" w14:textId="77777777" w:rsidR="00977CFA" w:rsidRPr="00024E13" w:rsidRDefault="00977CFA" w:rsidP="00977CFA">
      <w:pPr>
        <w:rPr>
          <w:rFonts w:eastAsia="Times New Roman" w:cs="Times New Roman"/>
          <w:color w:val="000000" w:themeColor="text1"/>
          <w:shd w:val="clear" w:color="auto" w:fill="FFFFFF"/>
        </w:rPr>
      </w:pPr>
      <w:r w:rsidRPr="00024E13">
        <w:rPr>
          <w:rFonts w:cs="Times New Roman"/>
          <w:color w:val="000000" w:themeColor="text1"/>
        </w:rPr>
        <w:t>Whereas, Education Code</w:t>
      </w:r>
      <w:r>
        <w:rPr>
          <w:rFonts w:cs="Times New Roman"/>
          <w:color w:val="000000" w:themeColor="text1"/>
        </w:rPr>
        <w:t xml:space="preserve"> §</w:t>
      </w:r>
      <w:r w:rsidRPr="00024E13">
        <w:rPr>
          <w:rFonts w:cs="Times New Roman"/>
          <w:color w:val="000000" w:themeColor="text1"/>
        </w:rPr>
        <w:t xml:space="preserve">87357 states that the Board of Governors </w:t>
      </w:r>
      <w:r w:rsidRPr="00024E13">
        <w:rPr>
          <w:rFonts w:eastAsia="Times New Roman" w:cs="Times New Roman"/>
          <w:color w:val="000000" w:themeColor="text1"/>
          <w:shd w:val="clear" w:color="auto" w:fill="FFFFFF"/>
        </w:rPr>
        <w:t xml:space="preserve">“shall consult with, and rely primarily on the advice and judgment of, appropriate apprenticeship teaching faculty and labor organization representatives” when establishing minimum qualifications for apprenticeship instructors; </w:t>
      </w:r>
    </w:p>
    <w:p w14:paraId="504BE9F0" w14:textId="77777777" w:rsidR="00977CFA" w:rsidRPr="00024E13" w:rsidRDefault="00977CFA" w:rsidP="00977CFA">
      <w:pPr>
        <w:rPr>
          <w:rFonts w:eastAsia="Times New Roman" w:cs="Times New Roman"/>
          <w:color w:val="000000" w:themeColor="text1"/>
          <w:shd w:val="clear" w:color="auto" w:fill="FFFFFF"/>
        </w:rPr>
      </w:pPr>
    </w:p>
    <w:p w14:paraId="0B5A84CA" w14:textId="77777777" w:rsidR="00977CFA" w:rsidRPr="00024E13" w:rsidRDefault="00977CFA" w:rsidP="00977CFA">
      <w:pPr>
        <w:rPr>
          <w:rFonts w:eastAsia="Times New Roman" w:cs="Times New Roman"/>
          <w:color w:val="000000" w:themeColor="text1"/>
        </w:rPr>
      </w:pPr>
      <w:r w:rsidRPr="00024E13">
        <w:rPr>
          <w:rFonts w:eastAsia="Times New Roman" w:cs="Times New Roman"/>
          <w:color w:val="000000" w:themeColor="text1"/>
          <w:shd w:val="clear" w:color="auto" w:fill="FFFFFF"/>
        </w:rPr>
        <w:t xml:space="preserve">Whereas, The California Community Colleges Chancellor’s Office </w:t>
      </w:r>
      <w:r>
        <w:rPr>
          <w:rFonts w:eastAsia="Times New Roman" w:cs="Times New Roman"/>
          <w:color w:val="000000" w:themeColor="text1"/>
          <w:shd w:val="clear" w:color="auto" w:fill="FFFFFF"/>
        </w:rPr>
        <w:t>recognizes</w:t>
      </w:r>
      <w:r w:rsidRPr="00024E13">
        <w:rPr>
          <w:rFonts w:eastAsia="Times New Roman" w:cs="Times New Roman"/>
          <w:color w:val="000000" w:themeColor="text1"/>
          <w:shd w:val="clear" w:color="auto" w:fill="FFFFFF"/>
        </w:rPr>
        <w:t xml:space="preserve"> the Academic Senate for California Community Colleges as the appropriate representative of apprenticeship teaching faculty and agreed </w:t>
      </w:r>
      <w:r>
        <w:rPr>
          <w:rFonts w:eastAsia="Times New Roman" w:cs="Times New Roman"/>
          <w:color w:val="000000" w:themeColor="text1"/>
          <w:shd w:val="clear" w:color="auto" w:fill="FFFFFF"/>
        </w:rPr>
        <w:t>to a</w:t>
      </w:r>
      <w:r w:rsidRPr="00024E13">
        <w:rPr>
          <w:rFonts w:eastAsia="Times New Roman" w:cs="Times New Roman"/>
          <w:color w:val="000000" w:themeColor="text1"/>
          <w:shd w:val="clear" w:color="auto" w:fill="FFFFFF"/>
        </w:rPr>
        <w:t xml:space="preserve"> process</w:t>
      </w:r>
      <w:r>
        <w:rPr>
          <w:rStyle w:val="FootnoteReference"/>
          <w:rFonts w:eastAsia="Times New Roman" w:cs="Times New Roman"/>
          <w:color w:val="000000" w:themeColor="text1"/>
          <w:shd w:val="clear" w:color="auto" w:fill="FFFFFF"/>
        </w:rPr>
        <w:footnoteReference w:id="9"/>
      </w:r>
      <w:r w:rsidRPr="00024E13">
        <w:rPr>
          <w:rFonts w:eastAsia="Times New Roman" w:cs="Times New Roman"/>
          <w:color w:val="000000" w:themeColor="text1"/>
          <w:shd w:val="clear" w:color="auto" w:fill="FFFFFF"/>
        </w:rPr>
        <w:t xml:space="preserve"> </w:t>
      </w:r>
      <w:r>
        <w:rPr>
          <w:rFonts w:eastAsia="Times New Roman" w:cs="Times New Roman"/>
          <w:color w:val="000000" w:themeColor="text1"/>
          <w:shd w:val="clear" w:color="auto" w:fill="FFFFFF"/>
        </w:rPr>
        <w:t>where</w:t>
      </w:r>
      <w:r w:rsidRPr="00024E13">
        <w:rPr>
          <w:rFonts w:eastAsia="Times New Roman" w:cs="Times New Roman"/>
          <w:color w:val="000000" w:themeColor="text1"/>
          <w:shd w:val="clear" w:color="auto" w:fill="FFFFFF"/>
        </w:rPr>
        <w:t xml:space="preserve"> representatives of the Academic Senate for California Community Colleges would </w:t>
      </w:r>
      <w:r>
        <w:rPr>
          <w:rFonts w:eastAsia="Times New Roman" w:cs="Times New Roman"/>
          <w:color w:val="000000" w:themeColor="text1"/>
          <w:shd w:val="clear" w:color="auto" w:fill="FFFFFF"/>
        </w:rPr>
        <w:t>collaborate</w:t>
      </w:r>
      <w:r w:rsidRPr="00024E13">
        <w:rPr>
          <w:rFonts w:eastAsia="Times New Roman" w:cs="Times New Roman"/>
          <w:color w:val="000000" w:themeColor="text1"/>
          <w:shd w:val="clear" w:color="auto" w:fill="FFFFFF"/>
        </w:rPr>
        <w:t xml:space="preserve"> with apprenticeship instructors to draft a </w:t>
      </w:r>
      <w:r>
        <w:rPr>
          <w:rFonts w:eastAsia="Times New Roman" w:cs="Times New Roman"/>
          <w:color w:val="000000" w:themeColor="text1"/>
          <w:shd w:val="clear" w:color="auto" w:fill="FFFFFF"/>
        </w:rPr>
        <w:t xml:space="preserve">recommendation for </w:t>
      </w:r>
      <w:r w:rsidRPr="00024E13">
        <w:rPr>
          <w:rFonts w:eastAsia="Times New Roman" w:cs="Times New Roman"/>
          <w:color w:val="000000" w:themeColor="text1"/>
          <w:shd w:val="clear" w:color="auto" w:fill="FFFFFF"/>
        </w:rPr>
        <w:t>revision</w:t>
      </w:r>
      <w:r>
        <w:rPr>
          <w:rFonts w:eastAsia="Times New Roman" w:cs="Times New Roman"/>
          <w:color w:val="000000" w:themeColor="text1"/>
          <w:shd w:val="clear" w:color="auto" w:fill="FFFFFF"/>
        </w:rPr>
        <w:t>s</w:t>
      </w:r>
      <w:r w:rsidRPr="00024E13">
        <w:rPr>
          <w:rFonts w:eastAsia="Times New Roman" w:cs="Times New Roman"/>
          <w:color w:val="000000" w:themeColor="text1"/>
          <w:shd w:val="clear" w:color="auto" w:fill="FFFFFF"/>
        </w:rPr>
        <w:t xml:space="preserve"> to the credit apprenticeship faculty minimum qualifications </w:t>
      </w:r>
      <w:r>
        <w:rPr>
          <w:rFonts w:eastAsia="Times New Roman" w:cs="Times New Roman"/>
          <w:color w:val="000000" w:themeColor="text1"/>
          <w:shd w:val="clear" w:color="auto" w:fill="FFFFFF"/>
        </w:rPr>
        <w:t>outlined</w:t>
      </w:r>
      <w:r w:rsidRPr="00024E13">
        <w:rPr>
          <w:rFonts w:eastAsia="Times New Roman" w:cs="Times New Roman"/>
          <w:color w:val="000000" w:themeColor="text1"/>
          <w:shd w:val="clear" w:color="auto" w:fill="FFFFFF"/>
        </w:rPr>
        <w:t xml:space="preserve"> in Title 5 </w:t>
      </w:r>
      <w:r>
        <w:rPr>
          <w:rFonts w:eastAsia="Times New Roman" w:cs="Times New Roman"/>
          <w:color w:val="000000" w:themeColor="text1"/>
          <w:shd w:val="clear" w:color="auto" w:fill="FFFFFF"/>
        </w:rPr>
        <w:t>§</w:t>
      </w:r>
      <w:r w:rsidRPr="00024E13">
        <w:rPr>
          <w:rFonts w:eastAsia="Times New Roman" w:cs="Times New Roman"/>
          <w:color w:val="000000" w:themeColor="text1"/>
          <w:shd w:val="clear" w:color="auto" w:fill="FFFFFF"/>
        </w:rPr>
        <w:t xml:space="preserve">53413(a); </w:t>
      </w:r>
    </w:p>
    <w:p w14:paraId="2AA502BD" w14:textId="77777777" w:rsidR="00977CFA" w:rsidRPr="00024E13" w:rsidRDefault="00977CFA" w:rsidP="00977CFA">
      <w:pPr>
        <w:pStyle w:val="NoSpacing"/>
        <w:rPr>
          <w:rFonts w:ascii="Times New Roman" w:hAnsi="Times New Roman" w:cs="Times New Roman"/>
          <w:color w:val="000000" w:themeColor="text1"/>
        </w:rPr>
      </w:pPr>
    </w:p>
    <w:p w14:paraId="1766DFD5"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Whereas, The Academic Senate for California</w:t>
      </w:r>
      <w:r>
        <w:rPr>
          <w:rFonts w:ascii="Times New Roman" w:hAnsi="Times New Roman" w:cs="Times New Roman"/>
          <w:color w:val="000000" w:themeColor="text1"/>
        </w:rPr>
        <w:t xml:space="preserve"> Community Colleges engaged in the agreed-upon</w:t>
      </w:r>
      <w:r w:rsidRPr="00024E13">
        <w:rPr>
          <w:rFonts w:ascii="Times New Roman" w:hAnsi="Times New Roman" w:cs="Times New Roman"/>
          <w:color w:val="000000" w:themeColor="text1"/>
        </w:rPr>
        <w:t xml:space="preserve"> process</w:t>
      </w:r>
      <w:r>
        <w:rPr>
          <w:rFonts w:ascii="Times New Roman" w:hAnsi="Times New Roman" w:cs="Times New Roman"/>
          <w:color w:val="000000" w:themeColor="text1"/>
        </w:rPr>
        <w:t xml:space="preserve"> in good faith</w:t>
      </w:r>
      <w:r w:rsidRPr="00024E13">
        <w:rPr>
          <w:rFonts w:ascii="Times New Roman" w:hAnsi="Times New Roman" w:cs="Times New Roman"/>
          <w:color w:val="000000" w:themeColor="text1"/>
        </w:rPr>
        <w:t xml:space="preserve"> to </w:t>
      </w:r>
      <w:r>
        <w:rPr>
          <w:rFonts w:ascii="Times New Roman" w:hAnsi="Times New Roman" w:cs="Times New Roman"/>
          <w:color w:val="000000" w:themeColor="text1"/>
        </w:rPr>
        <w:t xml:space="preserve">review and </w:t>
      </w:r>
      <w:r w:rsidRPr="00024E13">
        <w:rPr>
          <w:rFonts w:ascii="Times New Roman" w:hAnsi="Times New Roman" w:cs="Times New Roman"/>
          <w:color w:val="000000" w:themeColor="text1"/>
        </w:rPr>
        <w:t xml:space="preserve">revise the minimum qualifications for instructors teaching credit apprenticeship courses by working with apprenticeship instructors at a meeting on April 6, 2017 to develop the following proposed revision to Title 5 </w:t>
      </w:r>
      <w:r>
        <w:rPr>
          <w:rFonts w:ascii="Times New Roman" w:hAnsi="Times New Roman" w:cs="Times New Roman"/>
          <w:color w:val="000000" w:themeColor="text1"/>
        </w:rPr>
        <w:t>§</w:t>
      </w:r>
      <w:r w:rsidRPr="00024E13">
        <w:rPr>
          <w:rFonts w:ascii="Times New Roman" w:hAnsi="Times New Roman" w:cs="Times New Roman"/>
          <w:color w:val="000000" w:themeColor="text1"/>
        </w:rPr>
        <w:t xml:space="preserve">53413(a): </w:t>
      </w:r>
    </w:p>
    <w:p w14:paraId="60A5B9AE" w14:textId="77777777" w:rsidR="00977CFA" w:rsidRPr="00024E13" w:rsidRDefault="00977CFA" w:rsidP="00977CFA">
      <w:pPr>
        <w:pStyle w:val="NoSpacing"/>
        <w:rPr>
          <w:rFonts w:ascii="Times New Roman" w:hAnsi="Times New Roman" w:cs="Times New Roman"/>
          <w:color w:val="000000" w:themeColor="text1"/>
        </w:rPr>
      </w:pPr>
    </w:p>
    <w:p w14:paraId="50D1371B" w14:textId="77777777" w:rsidR="00977CFA" w:rsidRPr="00024E13" w:rsidRDefault="00977CFA" w:rsidP="00977CFA">
      <w:pPr>
        <w:pStyle w:val="NoSpacing"/>
        <w:rPr>
          <w:rFonts w:ascii="Times New Roman" w:hAnsi="Times New Roman" w:cs="Times New Roman"/>
          <w:i/>
          <w:color w:val="000000" w:themeColor="text1"/>
        </w:rPr>
      </w:pPr>
      <w:r w:rsidRPr="00024E13">
        <w:rPr>
          <w:rFonts w:ascii="Times New Roman" w:hAnsi="Times New Roman" w:cs="Times New Roman"/>
          <w:i/>
          <w:color w:val="000000" w:themeColor="text1"/>
        </w:rPr>
        <w:t>(a) The minimum qualifications for service as a community college faculty member teaching credit apprenticeship courses shall be satisfied by meeting one of the following requirements:</w:t>
      </w:r>
    </w:p>
    <w:p w14:paraId="053BDA0F" w14:textId="77777777" w:rsidR="00977CFA" w:rsidRPr="00024E13" w:rsidRDefault="00977CFA" w:rsidP="00977CFA">
      <w:pPr>
        <w:pStyle w:val="NoSpacing"/>
        <w:rPr>
          <w:rFonts w:ascii="Times New Roman" w:hAnsi="Times New Roman" w:cs="Times New Roman"/>
          <w:i/>
          <w:color w:val="000000" w:themeColor="text1"/>
        </w:rPr>
      </w:pPr>
      <w:r w:rsidRPr="00024E13">
        <w:rPr>
          <w:rFonts w:ascii="Times New Roman" w:hAnsi="Times New Roman" w:cs="Times New Roman"/>
          <w:i/>
          <w:color w:val="000000" w:themeColor="text1"/>
        </w:rPr>
        <w:t>(1) Possession of an associate degree, plus four years of occupational experience in the subject matter area to be taught; or</w:t>
      </w:r>
    </w:p>
    <w:p w14:paraId="64291D5B" w14:textId="77777777" w:rsidR="00977CFA" w:rsidRPr="00024E13" w:rsidRDefault="00977CFA" w:rsidP="00977CFA">
      <w:pPr>
        <w:rPr>
          <w:rFonts w:cs="Times New Roman"/>
          <w:i/>
          <w:color w:val="000000" w:themeColor="text1"/>
        </w:rPr>
      </w:pPr>
      <w:r w:rsidRPr="00024E13">
        <w:rPr>
          <w:rFonts w:cs="Times New Roman"/>
          <w:i/>
          <w:color w:val="000000" w:themeColor="text1"/>
        </w:rPr>
        <w:t xml:space="preserve">(2) Six years of occupational experience </w:t>
      </w:r>
      <w:r w:rsidRPr="00024E13">
        <w:rPr>
          <w:rFonts w:cs="Times New Roman"/>
          <w:i/>
          <w:color w:val="000000" w:themeColor="text1"/>
          <w:u w:val="single"/>
        </w:rPr>
        <w:t>in the subject matter to be taught</w:t>
      </w:r>
      <w:r w:rsidRPr="00024E13">
        <w:rPr>
          <w:rFonts w:cs="Times New Roman"/>
          <w:i/>
          <w:color w:val="000000" w:themeColor="text1"/>
        </w:rPr>
        <w:t xml:space="preserve">, a journeyman's certificate </w:t>
      </w:r>
      <w:r w:rsidRPr="00024E13">
        <w:rPr>
          <w:rFonts w:cs="Times New Roman"/>
          <w:i/>
          <w:color w:val="000000" w:themeColor="text1"/>
          <w:u w:val="single"/>
        </w:rPr>
        <w:t>where available</w:t>
      </w:r>
      <w:r w:rsidRPr="00024E13">
        <w:rPr>
          <w:rFonts w:cs="Times New Roman"/>
          <w:i/>
          <w:color w:val="000000" w:themeColor="text1"/>
        </w:rPr>
        <w:t xml:space="preserve"> in the subject matter area to be taught, and completion of at least </w:t>
      </w:r>
      <w:r w:rsidRPr="00024E13">
        <w:rPr>
          <w:rFonts w:cs="Times New Roman"/>
          <w:i/>
          <w:strike/>
          <w:color w:val="000000" w:themeColor="text1"/>
        </w:rPr>
        <w:t xml:space="preserve">eighteen (18) </w:t>
      </w:r>
      <w:r w:rsidRPr="00024E13">
        <w:rPr>
          <w:rFonts w:cs="Times New Roman"/>
          <w:i/>
          <w:color w:val="000000" w:themeColor="text1"/>
          <w:u w:val="single"/>
        </w:rPr>
        <w:t>twelve (12)</w:t>
      </w:r>
      <w:r w:rsidRPr="00024E13">
        <w:rPr>
          <w:rFonts w:cs="Times New Roman"/>
          <w:i/>
          <w:color w:val="000000" w:themeColor="text1"/>
        </w:rPr>
        <w:t xml:space="preserve"> semester units of degree applicable college level course work, in addition to apprenticeship credits.</w:t>
      </w:r>
    </w:p>
    <w:p w14:paraId="185816D6" w14:textId="77777777" w:rsidR="00977CFA" w:rsidRPr="00024E13" w:rsidRDefault="00977CFA" w:rsidP="00977CFA">
      <w:pPr>
        <w:rPr>
          <w:rFonts w:cs="Times New Roman"/>
          <w:i/>
          <w:color w:val="000000" w:themeColor="text1"/>
          <w:u w:val="single"/>
        </w:rPr>
      </w:pPr>
      <w:r w:rsidRPr="00024E13">
        <w:rPr>
          <w:rFonts w:cs="Times New Roman"/>
          <w:i/>
          <w:color w:val="000000" w:themeColor="text1"/>
          <w:u w:val="single"/>
        </w:rPr>
        <w:t xml:space="preserve">(A) The 12 units may be completed within two years of the date of hire; or </w:t>
      </w:r>
    </w:p>
    <w:p w14:paraId="0670BD01" w14:textId="77777777" w:rsidR="00977CFA" w:rsidRPr="00024E13" w:rsidRDefault="00977CFA" w:rsidP="00977CFA">
      <w:pPr>
        <w:rPr>
          <w:rFonts w:cs="Times New Roman"/>
          <w:i/>
          <w:color w:val="000000" w:themeColor="text1"/>
          <w:u w:val="single"/>
        </w:rPr>
      </w:pPr>
      <w:r w:rsidRPr="00024E13">
        <w:rPr>
          <w:rFonts w:cs="Times New Roman"/>
          <w:i/>
          <w:color w:val="000000" w:themeColor="text1"/>
          <w:u w:val="single"/>
        </w:rPr>
        <w:t xml:space="preserve">(3) Six years of occupational experience in the subject matter to be taught, and served as an apprenticeship instructor for an approved apprenticeship training for a minimum of ten years; or </w:t>
      </w:r>
    </w:p>
    <w:p w14:paraId="2E0F77C0" w14:textId="77777777" w:rsidR="00977CFA" w:rsidRPr="00024E13" w:rsidRDefault="00977CFA" w:rsidP="00977CFA">
      <w:pPr>
        <w:rPr>
          <w:rFonts w:cs="Times New Roman"/>
          <w:color w:val="000000" w:themeColor="text1"/>
        </w:rPr>
      </w:pPr>
      <w:r w:rsidRPr="00024E13">
        <w:rPr>
          <w:rFonts w:cs="Times New Roman"/>
          <w:i/>
          <w:color w:val="000000" w:themeColor="text1"/>
          <w:u w:val="single"/>
        </w:rPr>
        <w:t>(4) The equivalent;</w:t>
      </w:r>
      <w:r w:rsidRPr="00024E13">
        <w:rPr>
          <w:rFonts w:cs="Times New Roman"/>
          <w:color w:val="000000" w:themeColor="text1"/>
        </w:rPr>
        <w:t xml:space="preserve"> and</w:t>
      </w:r>
    </w:p>
    <w:p w14:paraId="2271D6EB" w14:textId="77777777" w:rsidR="00977CFA" w:rsidRPr="00024E13" w:rsidRDefault="00977CFA" w:rsidP="00977CFA">
      <w:pPr>
        <w:pStyle w:val="NoSpacing"/>
        <w:rPr>
          <w:rFonts w:ascii="Times New Roman" w:hAnsi="Times New Roman" w:cs="Times New Roman"/>
          <w:color w:val="000000" w:themeColor="text1"/>
        </w:rPr>
      </w:pPr>
    </w:p>
    <w:p w14:paraId="044ECADE" w14:textId="041DE24E"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Whereas, The Executive Committee of the Academic Senate for California Community Colleges has deemed that the process for working with apprenticeship instructors was followed and endorsed the outcome of the April 6, 2017</w:t>
      </w:r>
      <w:r w:rsidR="00A559E9">
        <w:rPr>
          <w:rFonts w:ascii="Times New Roman" w:hAnsi="Times New Roman" w:cs="Times New Roman"/>
          <w:color w:val="000000" w:themeColor="text1"/>
        </w:rPr>
        <w:t>,</w:t>
      </w:r>
      <w:r w:rsidRPr="00024E13">
        <w:rPr>
          <w:rFonts w:ascii="Times New Roman" w:hAnsi="Times New Roman" w:cs="Times New Roman"/>
          <w:color w:val="000000" w:themeColor="text1"/>
        </w:rPr>
        <w:t xml:space="preserve"> meeting between apprenticeship instructors and representatives of the ASCCC;</w:t>
      </w:r>
    </w:p>
    <w:p w14:paraId="5DC963CA" w14:textId="77777777" w:rsidR="00977CFA" w:rsidRPr="00024E13" w:rsidRDefault="00977CFA" w:rsidP="00977CFA">
      <w:pPr>
        <w:pStyle w:val="NoSpacing"/>
        <w:rPr>
          <w:rFonts w:ascii="Times New Roman" w:hAnsi="Times New Roman" w:cs="Times New Roman"/>
          <w:color w:val="000000" w:themeColor="text1"/>
        </w:rPr>
      </w:pPr>
    </w:p>
    <w:p w14:paraId="12061E9E"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Resolved, That the Academic Senate for California Community Colleges recommend that the California Community Colleges Board of Governors amend Title 5 </w:t>
      </w:r>
      <w:r>
        <w:rPr>
          <w:rFonts w:ascii="Times New Roman" w:hAnsi="Times New Roman" w:cs="Times New Roman"/>
          <w:color w:val="000000" w:themeColor="text1"/>
        </w:rPr>
        <w:t>§</w:t>
      </w:r>
      <w:r w:rsidRPr="00024E13">
        <w:rPr>
          <w:rFonts w:ascii="Times New Roman" w:hAnsi="Times New Roman" w:cs="Times New Roman"/>
          <w:color w:val="000000" w:themeColor="text1"/>
        </w:rPr>
        <w:t>53413(a) by</w:t>
      </w:r>
    </w:p>
    <w:p w14:paraId="0FD14BE6"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adopting the proposed revision to the minimum qualifications for teaching credit apprenticeship courses. </w:t>
      </w:r>
    </w:p>
    <w:p w14:paraId="6B596861" w14:textId="77777777" w:rsidR="00977CFA" w:rsidRPr="00024E13" w:rsidRDefault="00977CFA" w:rsidP="00977CFA">
      <w:pPr>
        <w:pStyle w:val="NoSpacing"/>
        <w:rPr>
          <w:rFonts w:ascii="Times New Roman" w:hAnsi="Times New Roman" w:cs="Times New Roman"/>
          <w:color w:val="000000" w:themeColor="text1"/>
        </w:rPr>
      </w:pPr>
    </w:p>
    <w:p w14:paraId="6006496C"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Contact: Executive Committee </w:t>
      </w:r>
    </w:p>
    <w:p w14:paraId="312A9543" w14:textId="77777777" w:rsidR="00977CFA" w:rsidRDefault="00977CFA" w:rsidP="00977CFA">
      <w:pPr>
        <w:rPr>
          <w:rFonts w:cs="Times New Roman"/>
          <w:color w:val="000000" w:themeColor="text1"/>
        </w:rPr>
      </w:pPr>
    </w:p>
    <w:p w14:paraId="49ACFE36" w14:textId="6D35C9B9" w:rsidR="00977CFA" w:rsidRPr="00A37425" w:rsidRDefault="00977CFA" w:rsidP="00977CFA">
      <w:pPr>
        <w:pStyle w:val="Heading2ResolutionTitle"/>
      </w:pPr>
      <w:bookmarkStart w:id="137" w:name="_Toc494644359"/>
      <w:bookmarkStart w:id="138" w:name="_Toc494644635"/>
      <w:bookmarkStart w:id="139" w:name="_Toc494644760"/>
      <w:bookmarkStart w:id="140" w:name="_Toc494649702"/>
      <w:r>
        <w:t>*10.02</w:t>
      </w:r>
      <w:r>
        <w:tab/>
        <w:t>F17</w:t>
      </w:r>
      <w:r>
        <w:tab/>
      </w:r>
      <w:r w:rsidRPr="00A37425">
        <w:t>Dialog and Collaboration on Apprenticeship Faculty Minimum Qualifications</w:t>
      </w:r>
      <w:bookmarkEnd w:id="137"/>
      <w:bookmarkEnd w:id="138"/>
      <w:bookmarkEnd w:id="139"/>
      <w:bookmarkEnd w:id="140"/>
    </w:p>
    <w:p w14:paraId="1F3E1C29"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 xml:space="preserve">Whereas, The Academic Senate for California Community College </w:t>
      </w:r>
      <w:r>
        <w:rPr>
          <w:rFonts w:ascii="Times New Roman" w:hAnsi="Times New Roman" w:cs="Times New Roman"/>
        </w:rPr>
        <w:t>believes</w:t>
      </w:r>
      <w:r w:rsidRPr="00273B8A">
        <w:rPr>
          <w:rFonts w:ascii="Times New Roman" w:hAnsi="Times New Roman" w:cs="Times New Roman"/>
        </w:rPr>
        <w:t xml:space="preserve"> that students are best served by well-qualified</w:t>
      </w:r>
      <w:r>
        <w:rPr>
          <w:rFonts w:ascii="Times New Roman" w:hAnsi="Times New Roman" w:cs="Times New Roman"/>
        </w:rPr>
        <w:t xml:space="preserve"> faculty members who exemplify </w:t>
      </w:r>
      <w:r w:rsidRPr="00273B8A">
        <w:rPr>
          <w:rFonts w:ascii="Times New Roman" w:hAnsi="Times New Roman" w:cs="Times New Roman"/>
        </w:rPr>
        <w:t xml:space="preserve">the value of </w:t>
      </w:r>
      <w:r>
        <w:rPr>
          <w:rFonts w:ascii="Times New Roman" w:hAnsi="Times New Roman" w:cs="Times New Roman"/>
        </w:rPr>
        <w:t>an education that is both well-</w:t>
      </w:r>
      <w:r w:rsidRPr="00273B8A">
        <w:rPr>
          <w:rFonts w:ascii="Times New Roman" w:hAnsi="Times New Roman" w:cs="Times New Roman"/>
        </w:rPr>
        <w:t xml:space="preserve">rounded and specialized and who act as models for students by demonstrating a breadth of general education knowledge and a depth of knowledge </w:t>
      </w:r>
      <w:r>
        <w:rPr>
          <w:rFonts w:ascii="Times New Roman" w:hAnsi="Times New Roman" w:cs="Times New Roman"/>
        </w:rPr>
        <w:t>in a specific</w:t>
      </w:r>
      <w:r w:rsidRPr="00273B8A">
        <w:rPr>
          <w:rFonts w:ascii="Times New Roman" w:hAnsi="Times New Roman" w:cs="Times New Roman"/>
        </w:rPr>
        <w:t xml:space="preserve"> discipline;</w:t>
      </w:r>
    </w:p>
    <w:p w14:paraId="2CCB22A5" w14:textId="77777777" w:rsidR="00977CFA" w:rsidRPr="00273B8A" w:rsidRDefault="00977CFA" w:rsidP="00977CFA">
      <w:pPr>
        <w:pStyle w:val="NoSpacing"/>
        <w:rPr>
          <w:rFonts w:ascii="Times New Roman" w:hAnsi="Times New Roman" w:cs="Times New Roman"/>
        </w:rPr>
      </w:pPr>
    </w:p>
    <w:p w14:paraId="07FCCDF1"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Whereas, While the general oversight of apprenticeship programs operated by local education agencies (LEAs)</w:t>
      </w:r>
      <w:r w:rsidRPr="00273B8A">
        <w:rPr>
          <w:rStyle w:val="FootnoteReference"/>
          <w:rFonts w:ascii="Times New Roman" w:hAnsi="Times New Roman" w:cs="Times New Roman"/>
        </w:rPr>
        <w:footnoteReference w:id="10"/>
      </w:r>
      <w:r w:rsidRPr="00273B8A">
        <w:rPr>
          <w:rFonts w:ascii="Times New Roman" w:hAnsi="Times New Roman" w:cs="Times New Roman"/>
        </w:rPr>
        <w:t xml:space="preserve"> is the domain of the California Department of Industrial Relations and the California Apprenticeship Council</w:t>
      </w:r>
      <w:r>
        <w:rPr>
          <w:rFonts w:ascii="Times New Roman" w:hAnsi="Times New Roman" w:cs="Times New Roman"/>
        </w:rPr>
        <w:t xml:space="preserve"> (CAC)</w:t>
      </w:r>
      <w:r w:rsidRPr="00273B8A">
        <w:rPr>
          <w:rFonts w:ascii="Times New Roman" w:hAnsi="Times New Roman" w:cs="Times New Roman"/>
        </w:rPr>
        <w:t xml:space="preserve">, faculty minimum qualifications for service in the California community colleges, including </w:t>
      </w:r>
      <w:r>
        <w:rPr>
          <w:rFonts w:ascii="Times New Roman" w:hAnsi="Times New Roman" w:cs="Times New Roman"/>
        </w:rPr>
        <w:t>those for</w:t>
      </w:r>
      <w:r w:rsidRPr="00273B8A">
        <w:rPr>
          <w:rFonts w:ascii="Times New Roman" w:hAnsi="Times New Roman" w:cs="Times New Roman"/>
        </w:rPr>
        <w:t xml:space="preserve"> teaching of apprenticeship courses, is an academic and professional matter under the purview of the Academic Senate;</w:t>
      </w:r>
      <w:r>
        <w:rPr>
          <w:rFonts w:ascii="Times New Roman" w:hAnsi="Times New Roman" w:cs="Times New Roman"/>
        </w:rPr>
        <w:t xml:space="preserve"> and</w:t>
      </w:r>
    </w:p>
    <w:p w14:paraId="08753A4C" w14:textId="77777777" w:rsidR="00977CFA" w:rsidRPr="00273B8A" w:rsidRDefault="00977CFA" w:rsidP="00977CFA">
      <w:pPr>
        <w:pStyle w:val="NoSpacing"/>
        <w:rPr>
          <w:rFonts w:ascii="Times New Roman" w:hAnsi="Times New Roman" w:cs="Times New Roman"/>
        </w:rPr>
      </w:pPr>
    </w:p>
    <w:p w14:paraId="144A1B60" w14:textId="77777777" w:rsidR="00977CFA" w:rsidRPr="00273B8A" w:rsidRDefault="00977CFA" w:rsidP="00977CFA">
      <w:pPr>
        <w:pStyle w:val="NoSpacing"/>
        <w:rPr>
          <w:rFonts w:ascii="Times New Roman" w:hAnsi="Times New Roman" w:cs="Times New Roman"/>
        </w:rPr>
      </w:pPr>
      <w:r w:rsidRPr="00273B8A">
        <w:rPr>
          <w:rFonts w:ascii="Times New Roman" w:hAnsi="Times New Roman" w:cs="Times New Roman"/>
        </w:rPr>
        <w:t xml:space="preserve">Whereas, </w:t>
      </w:r>
      <w:r>
        <w:rPr>
          <w:rFonts w:ascii="Times New Roman" w:hAnsi="Times New Roman" w:cs="Times New Roman"/>
        </w:rPr>
        <w:t>R</w:t>
      </w:r>
      <w:r w:rsidRPr="00273B8A">
        <w:rPr>
          <w:rFonts w:ascii="Times New Roman" w:hAnsi="Times New Roman" w:cs="Times New Roman"/>
        </w:rPr>
        <w:t>ecent efforts</w:t>
      </w:r>
      <w:r>
        <w:rPr>
          <w:rStyle w:val="FootnoteReference"/>
          <w:rFonts w:ascii="Times New Roman" w:hAnsi="Times New Roman" w:cs="Times New Roman"/>
        </w:rPr>
        <w:footnoteReference w:id="11"/>
      </w:r>
      <w:r w:rsidRPr="00273B8A">
        <w:rPr>
          <w:rFonts w:ascii="Times New Roman" w:hAnsi="Times New Roman" w:cs="Times New Roman"/>
        </w:rPr>
        <w:t xml:space="preserve"> by the California Apprenticeship Council to recommend significant revisions to the credit apprenticeship faculty minimum</w:t>
      </w:r>
      <w:r>
        <w:rPr>
          <w:rFonts w:ascii="Times New Roman" w:hAnsi="Times New Roman" w:cs="Times New Roman"/>
        </w:rPr>
        <w:t xml:space="preserve"> qualifications</w:t>
      </w:r>
      <w:r w:rsidRPr="00273B8A">
        <w:rPr>
          <w:rFonts w:ascii="Times New Roman" w:hAnsi="Times New Roman" w:cs="Times New Roman"/>
        </w:rPr>
        <w:t xml:space="preserve"> that were in conflict with the Academic Senate’s principles, and the subsequent efforts by the Academic Senate</w:t>
      </w:r>
      <w:r>
        <w:rPr>
          <w:rStyle w:val="FootnoteReference"/>
          <w:rFonts w:ascii="Times New Roman" w:hAnsi="Times New Roman" w:cs="Times New Roman"/>
        </w:rPr>
        <w:footnoteReference w:id="12"/>
      </w:r>
      <w:r w:rsidRPr="00273B8A">
        <w:rPr>
          <w:rFonts w:ascii="Times New Roman" w:hAnsi="Times New Roman" w:cs="Times New Roman"/>
        </w:rPr>
        <w:t xml:space="preserve"> to work with apprenticeship faculty </w:t>
      </w:r>
      <w:r>
        <w:rPr>
          <w:rFonts w:ascii="Times New Roman" w:hAnsi="Times New Roman" w:cs="Times New Roman"/>
        </w:rPr>
        <w:t xml:space="preserve">to </w:t>
      </w:r>
      <w:r w:rsidRPr="00273B8A">
        <w:rPr>
          <w:rFonts w:ascii="Times New Roman" w:hAnsi="Times New Roman" w:cs="Times New Roman"/>
        </w:rPr>
        <w:t>propose revisions to the credit apprenticeship minimum qualifications and engage in dialog with representatives of the California Apprenticeship Council and the apprenticeship community have revealed the critical need for the Academic Senate to engage in sustained dialog and collabo</w:t>
      </w:r>
      <w:r>
        <w:rPr>
          <w:rFonts w:ascii="Times New Roman" w:hAnsi="Times New Roman" w:cs="Times New Roman"/>
        </w:rPr>
        <w:t>rate with apprenticeship faculty, the California Apprenticeship Council, and the Department of Industrial Relations;</w:t>
      </w:r>
    </w:p>
    <w:p w14:paraId="7A08FA54" w14:textId="77777777" w:rsidR="00977CFA" w:rsidRPr="00273B8A" w:rsidRDefault="00977CFA" w:rsidP="00977CFA">
      <w:pPr>
        <w:pStyle w:val="NoSpacing"/>
        <w:rPr>
          <w:rFonts w:ascii="Times New Roman" w:hAnsi="Times New Roman" w:cs="Times New Roman"/>
        </w:rPr>
      </w:pPr>
    </w:p>
    <w:p w14:paraId="45785B28"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Resolved, That the Academic Senate for California Community Colleges, as the representative of all faculty on academic and professional matters,</w:t>
      </w:r>
      <w:r>
        <w:rPr>
          <w:rFonts w:ascii="Times New Roman" w:hAnsi="Times New Roman" w:cs="Times New Roman"/>
        </w:rPr>
        <w:t xml:space="preserve"> continue</w:t>
      </w:r>
      <w:r w:rsidRPr="00273B8A">
        <w:rPr>
          <w:rFonts w:ascii="Times New Roman" w:hAnsi="Times New Roman" w:cs="Times New Roman"/>
        </w:rPr>
        <w:t xml:space="preserve"> efforts to engage in sustained and respectful dialog and collaboration with the Department of Industrial Relations, the California Apprenticeship Council, and the broader apprenticeship community </w:t>
      </w:r>
      <w:r>
        <w:rPr>
          <w:rFonts w:ascii="Times New Roman" w:hAnsi="Times New Roman" w:cs="Times New Roman"/>
        </w:rPr>
        <w:t>to provide</w:t>
      </w:r>
      <w:r w:rsidRPr="00273B8A">
        <w:rPr>
          <w:rFonts w:ascii="Times New Roman" w:hAnsi="Times New Roman" w:cs="Times New Roman"/>
        </w:rPr>
        <w:t xml:space="preserve"> the highest quality educational experiences in </w:t>
      </w:r>
      <w:r>
        <w:rPr>
          <w:rFonts w:ascii="Times New Roman" w:hAnsi="Times New Roman" w:cs="Times New Roman"/>
        </w:rPr>
        <w:t xml:space="preserve">all </w:t>
      </w:r>
      <w:r w:rsidRPr="00273B8A">
        <w:rPr>
          <w:rFonts w:ascii="Times New Roman" w:hAnsi="Times New Roman" w:cs="Times New Roman"/>
        </w:rPr>
        <w:t xml:space="preserve">apprenticeship programs offered by the California community colleges. </w:t>
      </w:r>
    </w:p>
    <w:p w14:paraId="354DE413" w14:textId="77777777" w:rsidR="00977CFA" w:rsidRDefault="00977CFA" w:rsidP="00977CFA">
      <w:pPr>
        <w:pStyle w:val="NoSpacing"/>
        <w:rPr>
          <w:rFonts w:ascii="Times New Roman" w:hAnsi="Times New Roman" w:cs="Times New Roman"/>
        </w:rPr>
      </w:pPr>
    </w:p>
    <w:p w14:paraId="2D5D1F16" w14:textId="08337EE1" w:rsidR="008D6F4F" w:rsidRDefault="00977CFA" w:rsidP="00977CFA">
      <w:r>
        <w:rPr>
          <w:rFonts w:cs="Times New Roman"/>
        </w:rPr>
        <w:t>Contact: Executive Committee</w:t>
      </w:r>
    </w:p>
    <w:p w14:paraId="46F174E8" w14:textId="77777777" w:rsidR="0078571B" w:rsidRPr="002C71CB" w:rsidRDefault="0078571B" w:rsidP="008128FC">
      <w:pPr>
        <w:pStyle w:val="Heading2ResolutionTitle"/>
        <w:rPr>
          <w:b w:val="0"/>
        </w:rPr>
      </w:pPr>
    </w:p>
    <w:p w14:paraId="41AEAD2D" w14:textId="76BD77CB" w:rsidR="002C71CB" w:rsidRDefault="002C71CB" w:rsidP="001F19DE">
      <w:pPr>
        <w:pStyle w:val="Heading1SectionTitle"/>
      </w:pPr>
      <w:bookmarkStart w:id="141" w:name="_Toc494292604"/>
      <w:bookmarkStart w:id="142" w:name="_Toc494293718"/>
      <w:bookmarkStart w:id="143" w:name="_Toc494356242"/>
      <w:bookmarkStart w:id="144" w:name="_Toc494356799"/>
      <w:bookmarkStart w:id="145" w:name="_Toc494643114"/>
      <w:bookmarkStart w:id="146" w:name="_Toc494644360"/>
      <w:bookmarkStart w:id="147" w:name="_Toc494644636"/>
      <w:bookmarkStart w:id="148" w:name="_Toc494644761"/>
      <w:bookmarkStart w:id="149" w:name="_Toc494649703"/>
      <w:r>
        <w:t>13.0</w:t>
      </w:r>
      <w:r>
        <w:tab/>
        <w:t>GENERAL CONCERNS</w:t>
      </w:r>
      <w:bookmarkEnd w:id="141"/>
      <w:bookmarkEnd w:id="142"/>
      <w:bookmarkEnd w:id="143"/>
      <w:bookmarkEnd w:id="144"/>
      <w:bookmarkEnd w:id="145"/>
      <w:bookmarkEnd w:id="146"/>
      <w:bookmarkEnd w:id="147"/>
      <w:bookmarkEnd w:id="148"/>
      <w:bookmarkEnd w:id="149"/>
    </w:p>
    <w:p w14:paraId="4F45D7BB" w14:textId="5CF69F36" w:rsidR="002C71CB" w:rsidRPr="002C71CB" w:rsidRDefault="00E95937" w:rsidP="001F19DE">
      <w:pPr>
        <w:pStyle w:val="Heading2ResolutionTitle"/>
      </w:pPr>
      <w:bookmarkStart w:id="150" w:name="_Toc494292605"/>
      <w:bookmarkStart w:id="151" w:name="_Toc494293719"/>
      <w:bookmarkStart w:id="152" w:name="_Toc494356243"/>
      <w:bookmarkStart w:id="153" w:name="_Toc494356800"/>
      <w:bookmarkStart w:id="154" w:name="_Toc494643115"/>
      <w:bookmarkStart w:id="155" w:name="_Toc494644361"/>
      <w:bookmarkStart w:id="156" w:name="_Toc494644637"/>
      <w:bookmarkStart w:id="157" w:name="_Toc494644762"/>
      <w:bookmarkStart w:id="158" w:name="_Toc494649704"/>
      <w:r>
        <w:t>*</w:t>
      </w:r>
      <w:r w:rsidR="00F65FA2">
        <w:t>13.01</w:t>
      </w:r>
      <w:r w:rsidR="00F65FA2">
        <w:tab/>
        <w:t>F17</w:t>
      </w:r>
      <w:r w:rsidR="00F65FA2">
        <w:tab/>
      </w:r>
      <w:r w:rsidR="002C71CB" w:rsidRPr="002C71CB">
        <w:t>Recognition of Course Sections with Low-Cost Text Options</w:t>
      </w:r>
      <w:bookmarkEnd w:id="150"/>
      <w:bookmarkEnd w:id="151"/>
      <w:bookmarkEnd w:id="152"/>
      <w:bookmarkEnd w:id="153"/>
      <w:bookmarkEnd w:id="154"/>
      <w:bookmarkEnd w:id="155"/>
      <w:bookmarkEnd w:id="156"/>
      <w:bookmarkEnd w:id="157"/>
      <w:bookmarkEnd w:id="158"/>
    </w:p>
    <w:p w14:paraId="43E18ABE" w14:textId="77777777" w:rsidR="002C71CB" w:rsidRPr="005354D5" w:rsidRDefault="002C71CB" w:rsidP="002C71CB">
      <w:pPr>
        <w:rPr>
          <w:rFonts w:cs="Times New Roman"/>
        </w:rPr>
      </w:pPr>
      <w:r w:rsidRPr="005354D5">
        <w:rPr>
          <w:rFonts w:cs="Times New Roman"/>
        </w:rPr>
        <w:t>Whereas, The significant rise in costs of textbooks is a barrier to college attendance, student access, and student success</w:t>
      </w:r>
      <w:r>
        <w:rPr>
          <w:rFonts w:cs="Times New Roman"/>
        </w:rPr>
        <w:t>,</w:t>
      </w:r>
      <w:r w:rsidRPr="005354D5">
        <w:rPr>
          <w:rFonts w:cs="Times New Roman"/>
        </w:rPr>
        <w:t xml:space="preserve"> and many colleges are interested in reducing the cost of textbooks to increase student access to necessary course materials; </w:t>
      </w:r>
    </w:p>
    <w:p w14:paraId="3E94832D" w14:textId="77777777" w:rsidR="002C71CB" w:rsidRPr="005354D5" w:rsidRDefault="002C71CB" w:rsidP="002C71CB">
      <w:pPr>
        <w:rPr>
          <w:rFonts w:cs="Times New Roman"/>
        </w:rPr>
      </w:pPr>
    </w:p>
    <w:p w14:paraId="62791B41" w14:textId="77777777" w:rsidR="002C71CB" w:rsidRPr="005354D5" w:rsidRDefault="002C71CB" w:rsidP="002C71CB">
      <w:pPr>
        <w:rPr>
          <w:rFonts w:cs="Times New Roman"/>
        </w:rPr>
      </w:pPr>
      <w:r w:rsidRPr="005354D5">
        <w:rPr>
          <w:rFonts w:cs="Times New Roman"/>
        </w:rPr>
        <w:t xml:space="preserve">Whereas, The intent of the College Textbook Affordability Act of 2015 (AB 798, Bonilla, 2015) is to reduce costs for college students by encouraging faculty to accelerate the adoption of lower cost, high-quality, open educational resources (OER) and the Zero-Textbook-Cost Degree Grant Program focuses on the development of degrees with no associated text costs; </w:t>
      </w:r>
    </w:p>
    <w:p w14:paraId="5B177882" w14:textId="77777777" w:rsidR="002C71CB" w:rsidRPr="005354D5" w:rsidRDefault="002C71CB" w:rsidP="002C71CB">
      <w:pPr>
        <w:rPr>
          <w:rFonts w:cs="Times New Roman"/>
        </w:rPr>
      </w:pPr>
    </w:p>
    <w:p w14:paraId="2E7702A5" w14:textId="77777777" w:rsidR="002C71CB" w:rsidRPr="005354D5" w:rsidRDefault="002C71CB" w:rsidP="002C71CB">
      <w:pPr>
        <w:rPr>
          <w:rFonts w:cs="Times New Roman"/>
        </w:rPr>
      </w:pPr>
      <w:r w:rsidRPr="005354D5">
        <w:rPr>
          <w:rFonts w:cs="Times New Roman"/>
        </w:rPr>
        <w:t xml:space="preserve">Whereas, Senate Bill 1359 (Block, 2016) requires all segments of public higher education in California to “Clearly highlight, by means that may include a symbol or logo in a conspicuous place on the online campus course schedule, the courses that exclusively use digital course materials that are free of charge to students and may have a low-cost option for print versions.” (CEC 66406.9.) as of January, 2018; and </w:t>
      </w:r>
    </w:p>
    <w:p w14:paraId="26AD519B" w14:textId="77777777" w:rsidR="002C71CB" w:rsidRPr="005354D5" w:rsidRDefault="002C71CB" w:rsidP="002C71CB">
      <w:pPr>
        <w:rPr>
          <w:rFonts w:cs="Times New Roman"/>
        </w:rPr>
      </w:pPr>
    </w:p>
    <w:p w14:paraId="62205CBB" w14:textId="77777777" w:rsidR="002C71CB" w:rsidRPr="005354D5" w:rsidRDefault="002C71CB" w:rsidP="002C71CB">
      <w:pPr>
        <w:rPr>
          <w:rFonts w:cs="Times New Roman"/>
        </w:rPr>
      </w:pPr>
      <w:r w:rsidRPr="005354D5">
        <w:rPr>
          <w:rFonts w:cs="Times New Roman"/>
        </w:rPr>
        <w:t xml:space="preserve">Whereas, Efforts to substantially decrease the costs of course materials should be recognized and, in some instances, reducing costs to zero </w:t>
      </w:r>
      <w:r>
        <w:rPr>
          <w:rFonts w:cs="Times New Roman"/>
        </w:rPr>
        <w:t>may not be immediately possible;</w:t>
      </w:r>
      <w:r w:rsidRPr="005354D5">
        <w:rPr>
          <w:rFonts w:cs="Times New Roman"/>
        </w:rPr>
        <w:t xml:space="preserve"> </w:t>
      </w:r>
    </w:p>
    <w:p w14:paraId="0E925F55" w14:textId="77777777" w:rsidR="002C71CB" w:rsidRPr="005354D5" w:rsidRDefault="002C71CB" w:rsidP="002C71CB">
      <w:pPr>
        <w:rPr>
          <w:rFonts w:cs="Times New Roman"/>
        </w:rPr>
      </w:pPr>
    </w:p>
    <w:p w14:paraId="205FFADA" w14:textId="34C5B265" w:rsidR="002C71CB" w:rsidRPr="005354D5" w:rsidRDefault="002C71CB" w:rsidP="002C71CB">
      <w:pPr>
        <w:rPr>
          <w:rFonts w:cs="Times New Roman"/>
        </w:rPr>
      </w:pPr>
      <w:r w:rsidRPr="005354D5">
        <w:rPr>
          <w:rFonts w:cs="Times New Roman"/>
        </w:rPr>
        <w:t xml:space="preserve">Resolved, That </w:t>
      </w:r>
      <w:r>
        <w:rPr>
          <w:rFonts w:cs="Times New Roman"/>
        </w:rPr>
        <w:t>the Academic Senate for California Community Colleges</w:t>
      </w:r>
      <w:r w:rsidRPr="005354D5">
        <w:rPr>
          <w:rFonts w:cs="Times New Roman"/>
        </w:rPr>
        <w:t xml:space="preserve"> support efforts to increase student access to high-quality open educational resources and reduce the cost of textbooks and supplies for students in course sections for which open educational resources</w:t>
      </w:r>
      <w:r w:rsidR="00DC61E1">
        <w:rPr>
          <w:rFonts w:cs="Times New Roman"/>
        </w:rPr>
        <w:t xml:space="preserve"> may not be available </w:t>
      </w:r>
      <w:r w:rsidRPr="005354D5">
        <w:rPr>
          <w:rFonts w:cs="Times New Roman"/>
        </w:rPr>
        <w:t>to accom</w:t>
      </w:r>
      <w:r>
        <w:rPr>
          <w:rFonts w:cs="Times New Roman"/>
        </w:rPr>
        <w:t>plish</w:t>
      </w:r>
      <w:r w:rsidR="003C6240">
        <w:rPr>
          <w:rFonts w:cs="Times New Roman"/>
        </w:rPr>
        <w:t xml:space="preserve"> zero cost</w:t>
      </w:r>
      <w:r>
        <w:rPr>
          <w:rFonts w:cs="Times New Roman"/>
        </w:rPr>
        <w:t xml:space="preserve"> for students; and</w:t>
      </w:r>
    </w:p>
    <w:p w14:paraId="1D272ECD" w14:textId="77777777" w:rsidR="002C71CB" w:rsidRPr="005354D5" w:rsidRDefault="002C71CB" w:rsidP="002C71CB">
      <w:pPr>
        <w:rPr>
          <w:rFonts w:cs="Times New Roman"/>
        </w:rPr>
      </w:pPr>
    </w:p>
    <w:p w14:paraId="033B2B65" w14:textId="77777777" w:rsidR="002C71CB" w:rsidRDefault="002C71CB" w:rsidP="002C71CB">
      <w:pPr>
        <w:rPr>
          <w:rFonts w:cs="Times New Roman"/>
        </w:rPr>
      </w:pPr>
      <w:r w:rsidRPr="005354D5">
        <w:rPr>
          <w:rFonts w:cs="Times New Roman"/>
        </w:rPr>
        <w:t xml:space="preserve">Resolved, That the </w:t>
      </w:r>
      <w:r>
        <w:rPr>
          <w:rFonts w:cs="Times New Roman"/>
        </w:rPr>
        <w:t>Academic Senate for California Community Colleges</w:t>
      </w:r>
      <w:r w:rsidRPr="005354D5">
        <w:rPr>
          <w:rFonts w:cs="Times New Roman"/>
        </w:rPr>
        <w:t xml:space="preserve"> </w:t>
      </w:r>
      <w:r>
        <w:rPr>
          <w:rFonts w:cs="Times New Roman"/>
        </w:rPr>
        <w:t>encourage</w:t>
      </w:r>
      <w:r w:rsidRPr="005354D5">
        <w:rPr>
          <w:rFonts w:cs="Times New Roman"/>
        </w:rPr>
        <w:t xml:space="preserve"> colleges to implement a mechanism for identifying course sections that employ low-cost course materials.</w:t>
      </w:r>
    </w:p>
    <w:p w14:paraId="0FFC68A8" w14:textId="77777777" w:rsidR="002C71CB" w:rsidRDefault="002C71CB" w:rsidP="002C71CB">
      <w:pPr>
        <w:rPr>
          <w:rFonts w:cs="Times New Roman"/>
        </w:rPr>
      </w:pPr>
    </w:p>
    <w:p w14:paraId="65367F45" w14:textId="634D1365" w:rsidR="002C71CB" w:rsidRPr="002C71CB" w:rsidRDefault="00666738" w:rsidP="002C71CB">
      <w:pPr>
        <w:rPr>
          <w:rFonts w:cs="Times New Roman"/>
        </w:rPr>
      </w:pPr>
      <w:r>
        <w:rPr>
          <w:rFonts w:cs="Times New Roman"/>
        </w:rPr>
        <w:t>Contact: Michelle Pilati</w:t>
      </w:r>
      <w:r w:rsidR="002C71CB">
        <w:rPr>
          <w:rFonts w:cs="Times New Roman"/>
        </w:rPr>
        <w:t xml:space="preserve">, </w:t>
      </w:r>
      <w:r w:rsidR="00E07F0C">
        <w:rPr>
          <w:rFonts w:cs="Times New Roman"/>
        </w:rPr>
        <w:t xml:space="preserve">Rio Hondo College, </w:t>
      </w:r>
      <w:r w:rsidR="002C71CB">
        <w:rPr>
          <w:rFonts w:cs="Times New Roman"/>
        </w:rPr>
        <w:t>Open Educational Resources</w:t>
      </w:r>
      <w:r w:rsidR="006C5ABC">
        <w:rPr>
          <w:rFonts w:cs="Times New Roman"/>
        </w:rPr>
        <w:t xml:space="preserve"> Task Force</w:t>
      </w:r>
    </w:p>
    <w:p w14:paraId="3BF8D27E" w14:textId="77777777" w:rsidR="002E31B2" w:rsidRPr="00C23000" w:rsidRDefault="002E31B2" w:rsidP="00C23000"/>
    <w:p w14:paraId="5DEB2EC8" w14:textId="25A6213C" w:rsidR="002714B5" w:rsidRDefault="0061288E" w:rsidP="0061288E">
      <w:pPr>
        <w:pStyle w:val="Heading1SectionTitle"/>
      </w:pPr>
      <w:bookmarkStart w:id="159" w:name="_Toc494118137"/>
      <w:bookmarkStart w:id="160" w:name="_Toc494118192"/>
      <w:bookmarkStart w:id="161" w:name="_Toc494121960"/>
      <w:bookmarkStart w:id="162" w:name="_Toc494292606"/>
      <w:bookmarkStart w:id="163" w:name="_Toc494293720"/>
      <w:bookmarkStart w:id="164" w:name="_Toc494356244"/>
      <w:bookmarkStart w:id="165" w:name="_Toc494356801"/>
      <w:bookmarkStart w:id="166" w:name="_Toc494643116"/>
      <w:bookmarkStart w:id="167" w:name="_Toc494644362"/>
      <w:bookmarkStart w:id="168" w:name="_Toc494644638"/>
      <w:bookmarkStart w:id="169" w:name="_Toc494644763"/>
      <w:bookmarkStart w:id="170" w:name="_Toc494649705"/>
      <w:r>
        <w:t>14.0</w:t>
      </w:r>
      <w:r>
        <w:tab/>
        <w:t>GRADING</w:t>
      </w:r>
      <w:bookmarkEnd w:id="159"/>
      <w:bookmarkEnd w:id="160"/>
      <w:bookmarkEnd w:id="161"/>
      <w:bookmarkEnd w:id="162"/>
      <w:bookmarkEnd w:id="163"/>
      <w:bookmarkEnd w:id="164"/>
      <w:bookmarkEnd w:id="165"/>
      <w:bookmarkEnd w:id="166"/>
      <w:bookmarkEnd w:id="167"/>
      <w:bookmarkEnd w:id="168"/>
      <w:bookmarkEnd w:id="169"/>
      <w:bookmarkEnd w:id="170"/>
    </w:p>
    <w:p w14:paraId="6B5B49E8" w14:textId="3F468105" w:rsidR="0061288E" w:rsidRDefault="004471AC" w:rsidP="0061288E">
      <w:pPr>
        <w:pStyle w:val="Heading2ResolutionTitle"/>
      </w:pPr>
      <w:bookmarkStart w:id="171" w:name="_Toc494118138"/>
      <w:bookmarkStart w:id="172" w:name="_Toc494118193"/>
      <w:bookmarkStart w:id="173" w:name="_Toc494121961"/>
      <w:bookmarkStart w:id="174" w:name="_Toc494292607"/>
      <w:bookmarkStart w:id="175" w:name="_Toc494293721"/>
      <w:bookmarkStart w:id="176" w:name="_Toc494356245"/>
      <w:bookmarkStart w:id="177" w:name="_Toc494356802"/>
      <w:bookmarkStart w:id="178" w:name="_Toc494643117"/>
      <w:bookmarkStart w:id="179" w:name="_Toc494644363"/>
      <w:bookmarkStart w:id="180" w:name="_Toc494644639"/>
      <w:bookmarkStart w:id="181" w:name="_Toc494644764"/>
      <w:bookmarkStart w:id="182" w:name="_Toc494649706"/>
      <w:r>
        <w:t>*</w:t>
      </w:r>
      <w:r w:rsidR="009314C4">
        <w:t>14.</w:t>
      </w:r>
      <w:r w:rsidR="00940775">
        <w:t>0</w:t>
      </w:r>
      <w:r w:rsidR="00F65FA2">
        <w:t>1</w:t>
      </w:r>
      <w:r w:rsidR="00F65FA2">
        <w:tab/>
        <w:t>F17</w:t>
      </w:r>
      <w:r w:rsidR="00F65FA2">
        <w:tab/>
      </w:r>
      <w:r w:rsidR="009314C4" w:rsidRPr="00A811ED">
        <w:t>Allow Students to Repeat Substandard Grades at Other Regi</w:t>
      </w:r>
      <w:r w:rsidR="0061288E">
        <w:t>onally Accredited Institutions</w:t>
      </w:r>
      <w:bookmarkEnd w:id="171"/>
      <w:bookmarkEnd w:id="172"/>
      <w:bookmarkEnd w:id="173"/>
      <w:bookmarkEnd w:id="174"/>
      <w:bookmarkEnd w:id="175"/>
      <w:bookmarkEnd w:id="176"/>
      <w:bookmarkEnd w:id="177"/>
      <w:bookmarkEnd w:id="178"/>
      <w:bookmarkEnd w:id="179"/>
      <w:bookmarkEnd w:id="180"/>
      <w:bookmarkEnd w:id="181"/>
      <w:bookmarkEnd w:id="182"/>
    </w:p>
    <w:p w14:paraId="7B80616E" w14:textId="4A4AF3D5" w:rsidR="009314C4" w:rsidRPr="00A811ED" w:rsidRDefault="009314C4" w:rsidP="009314C4">
      <w:pPr>
        <w:rPr>
          <w:rFonts w:cs="Times New Roman"/>
        </w:rPr>
      </w:pPr>
      <w:r w:rsidRPr="00A811ED">
        <w:rPr>
          <w:rFonts w:cs="Times New Roman"/>
        </w:rPr>
        <w:t xml:space="preserve">Whereas, Many California community colleges allow students to repeat courses with substandard grades in order for students to improve their </w:t>
      </w:r>
      <w:r w:rsidR="00B73C08">
        <w:rPr>
          <w:rFonts w:cs="Times New Roman"/>
        </w:rPr>
        <w:t>grade point average (</w:t>
      </w:r>
      <w:r w:rsidRPr="00A811ED">
        <w:rPr>
          <w:rFonts w:cs="Times New Roman"/>
        </w:rPr>
        <w:t>GPA</w:t>
      </w:r>
      <w:r w:rsidR="00B73C08">
        <w:rPr>
          <w:rFonts w:cs="Times New Roman"/>
        </w:rPr>
        <w:t>)</w:t>
      </w:r>
      <w:r w:rsidRPr="00A811ED">
        <w:rPr>
          <w:rFonts w:cs="Times New Roman"/>
        </w:rPr>
        <w:t xml:space="preserve"> and move closer to completion of their educational goals if the course is deemed equivalent and repeated at another regionally accredited institution; </w:t>
      </w:r>
    </w:p>
    <w:p w14:paraId="0726B2F3" w14:textId="13656F7A" w:rsidR="009314C4" w:rsidRPr="00A811ED" w:rsidRDefault="009314C4" w:rsidP="009314C4">
      <w:pPr>
        <w:rPr>
          <w:rFonts w:cs="Times New Roman"/>
        </w:rPr>
      </w:pPr>
      <w:r w:rsidRPr="00A811ED">
        <w:rPr>
          <w:rFonts w:cs="Times New Roman"/>
        </w:rPr>
        <w:br/>
        <w:t>Whereas, California community colleges apply a wide range of policies regarding course repetition for substandard grades and some have more punitive policies that only allow students to repeat courses with substandard grades if they do so at the college/district in which they earned the substandard grade, which is impractical for students since they may</w:t>
      </w:r>
      <w:r w:rsidR="004C24A6">
        <w:rPr>
          <w:rFonts w:cs="Times New Roman"/>
        </w:rPr>
        <w:t xml:space="preserve"> no</w:t>
      </w:r>
      <w:r w:rsidRPr="00A811ED">
        <w:rPr>
          <w:rFonts w:cs="Times New Roman"/>
        </w:rPr>
        <w:t xml:space="preserve"> longer be enrolled at the college, the course has been deleted, or the course is only offered once a year;</w:t>
      </w:r>
    </w:p>
    <w:p w14:paraId="72ABBCA9" w14:textId="77777777" w:rsidR="009314C4" w:rsidRPr="00A811ED" w:rsidRDefault="009314C4" w:rsidP="009314C4">
      <w:pPr>
        <w:rPr>
          <w:rFonts w:cs="Times New Roman"/>
        </w:rPr>
      </w:pPr>
      <w:r w:rsidRPr="00A811ED">
        <w:rPr>
          <w:rFonts w:cs="Times New Roman"/>
        </w:rPr>
        <w:br/>
        <w:t>Whereas, The California State University (CSU) system announced their intention to enforce a policy that will not consider the grade of a repeated course when reviewing for transfer admission if a course with a substandard grade is not annotated as repeated on the student’s community college transcript; and</w:t>
      </w:r>
    </w:p>
    <w:p w14:paraId="41719BED" w14:textId="74CF21B7" w:rsidR="009314C4" w:rsidRPr="00A811ED" w:rsidRDefault="009314C4" w:rsidP="009314C4">
      <w:pPr>
        <w:rPr>
          <w:rFonts w:cs="Times New Roman"/>
        </w:rPr>
      </w:pPr>
      <w:r w:rsidRPr="00A811ED">
        <w:rPr>
          <w:rFonts w:cs="Times New Roman"/>
        </w:rPr>
        <w:br/>
        <w:t>Whereas, Both the Cal</w:t>
      </w:r>
      <w:r w:rsidR="00C87AFB">
        <w:rPr>
          <w:rFonts w:cs="Times New Roman"/>
        </w:rPr>
        <w:t>ifornia Community Colleges</w:t>
      </w:r>
      <w:r w:rsidRPr="00A811ED">
        <w:rPr>
          <w:rFonts w:cs="Times New Roman"/>
        </w:rPr>
        <w:t xml:space="preserve"> system and the CSU system have committed to increasing the number of graduating students, moving students more efficiently towards completion of their educational and career goals, and improving overall student success, and the practice of disallowing grade forgiveness for a repeated course that was not repeated at the campus the substandard grade was earned is inconsistent with these commitments and harms students;</w:t>
      </w:r>
    </w:p>
    <w:p w14:paraId="3E77A8BE" w14:textId="3075F65C" w:rsidR="009314C4" w:rsidRDefault="009314C4" w:rsidP="009314C4">
      <w:pPr>
        <w:rPr>
          <w:rFonts w:cs="Times New Roman"/>
        </w:rPr>
      </w:pPr>
      <w:r w:rsidRPr="00A811ED">
        <w:rPr>
          <w:rFonts w:cs="Times New Roman"/>
        </w:rPr>
        <w:br/>
        <w:t>Resolved, That the Academic Senate for Community Colleges</w:t>
      </w:r>
      <w:r w:rsidR="005C09ED">
        <w:rPr>
          <w:rFonts w:cs="Times New Roman"/>
        </w:rPr>
        <w:t xml:space="preserve"> investigate and disseminate </w:t>
      </w:r>
      <w:r w:rsidR="003563D8">
        <w:rPr>
          <w:rFonts w:cs="Times New Roman"/>
        </w:rPr>
        <w:t xml:space="preserve">by </w:t>
      </w:r>
      <w:r w:rsidR="000139BC">
        <w:rPr>
          <w:rFonts w:cs="Times New Roman"/>
        </w:rPr>
        <w:t>S</w:t>
      </w:r>
      <w:r w:rsidR="003563D8">
        <w:rPr>
          <w:rFonts w:cs="Times New Roman"/>
        </w:rPr>
        <w:t xml:space="preserve">pring 2019 </w:t>
      </w:r>
      <w:r w:rsidR="005C09ED">
        <w:rPr>
          <w:rFonts w:cs="Times New Roman"/>
        </w:rPr>
        <w:t>effective practices</w:t>
      </w:r>
      <w:r w:rsidR="00371A76">
        <w:rPr>
          <w:rFonts w:cs="Times New Roman"/>
        </w:rPr>
        <w:t xml:space="preserve"> </w:t>
      </w:r>
      <w:r w:rsidR="003563D8">
        <w:rPr>
          <w:rFonts w:cs="Times New Roman"/>
        </w:rPr>
        <w:t xml:space="preserve">and </w:t>
      </w:r>
      <w:r w:rsidR="00371A76">
        <w:rPr>
          <w:rFonts w:cs="Times New Roman"/>
        </w:rPr>
        <w:t>policies</w:t>
      </w:r>
      <w:r w:rsidR="005C09ED">
        <w:rPr>
          <w:rFonts w:cs="Times New Roman"/>
        </w:rPr>
        <w:t xml:space="preserve"> surrounding the repetition of </w:t>
      </w:r>
      <w:r w:rsidR="00F56B26">
        <w:rPr>
          <w:rFonts w:cs="Times New Roman"/>
        </w:rPr>
        <w:t xml:space="preserve">courses where students earned </w:t>
      </w:r>
      <w:r w:rsidR="005C09ED">
        <w:rPr>
          <w:rFonts w:cs="Times New Roman"/>
        </w:rPr>
        <w:t>substandard grades</w:t>
      </w:r>
      <w:r w:rsidRPr="00A811ED">
        <w:rPr>
          <w:rFonts w:cs="Times New Roman"/>
        </w:rPr>
        <w:t>.</w:t>
      </w:r>
    </w:p>
    <w:p w14:paraId="0F914C1B" w14:textId="77777777" w:rsidR="009314C4" w:rsidRPr="00A811ED" w:rsidRDefault="009314C4" w:rsidP="009314C4">
      <w:pPr>
        <w:rPr>
          <w:rFonts w:cs="Times New Roman"/>
        </w:rPr>
      </w:pPr>
    </w:p>
    <w:p w14:paraId="5A4CDC6D" w14:textId="1EEE033A" w:rsidR="009314C4" w:rsidRDefault="00CA4223" w:rsidP="009314C4">
      <w:pPr>
        <w:rPr>
          <w:rFonts w:cs="Times New Roman"/>
        </w:rPr>
      </w:pPr>
      <w:r>
        <w:rPr>
          <w:rFonts w:cs="Times New Roman"/>
        </w:rPr>
        <w:t>Contact: Dave DeGroot</w:t>
      </w:r>
      <w:r w:rsidR="009314C4" w:rsidRPr="00A811ED">
        <w:rPr>
          <w:rFonts w:cs="Times New Roman"/>
        </w:rPr>
        <w:t xml:space="preserve">, </w:t>
      </w:r>
      <w:r w:rsidR="00E07F0C">
        <w:rPr>
          <w:rFonts w:cs="Times New Roman"/>
        </w:rPr>
        <w:t xml:space="preserve">Allan Hancock College, </w:t>
      </w:r>
      <w:r w:rsidR="009314C4" w:rsidRPr="00A811ED">
        <w:rPr>
          <w:rFonts w:cs="Times New Roman"/>
        </w:rPr>
        <w:t>Transfer, Articulation, and Student Services Committee</w:t>
      </w:r>
    </w:p>
    <w:p w14:paraId="3C4ECD4B" w14:textId="77777777" w:rsidR="006A621D" w:rsidRDefault="006A621D" w:rsidP="009314C4">
      <w:pPr>
        <w:rPr>
          <w:rFonts w:cs="Times New Roman"/>
        </w:rPr>
      </w:pPr>
    </w:p>
    <w:p w14:paraId="36267BDB" w14:textId="72A23DAA" w:rsidR="006A621D" w:rsidRDefault="006A621D" w:rsidP="00951FCB">
      <w:pPr>
        <w:pStyle w:val="Heading1SectionTitle"/>
      </w:pPr>
      <w:bookmarkStart w:id="183" w:name="_Toc494643118"/>
      <w:bookmarkStart w:id="184" w:name="_Toc494644364"/>
      <w:bookmarkStart w:id="185" w:name="_Toc494644640"/>
      <w:bookmarkStart w:id="186" w:name="_Toc494644765"/>
      <w:bookmarkStart w:id="187" w:name="_Toc494649707"/>
      <w:r>
        <w:t>15.0</w:t>
      </w:r>
      <w:r>
        <w:tab/>
        <w:t>INTERSEGMENTAL ISSUES</w:t>
      </w:r>
      <w:bookmarkEnd w:id="183"/>
      <w:bookmarkEnd w:id="184"/>
      <w:bookmarkEnd w:id="185"/>
      <w:bookmarkEnd w:id="186"/>
      <w:bookmarkEnd w:id="187"/>
    </w:p>
    <w:p w14:paraId="79E884F9" w14:textId="77777777" w:rsidR="006A621D" w:rsidRPr="007034EB" w:rsidRDefault="006A621D" w:rsidP="00951FCB">
      <w:pPr>
        <w:pStyle w:val="Heading2ResolutionTitle"/>
      </w:pPr>
      <w:bookmarkStart w:id="188" w:name="_Toc494643119"/>
      <w:bookmarkStart w:id="189" w:name="_Toc494644365"/>
      <w:bookmarkStart w:id="190" w:name="_Toc494644641"/>
      <w:bookmarkStart w:id="191" w:name="_Toc494644766"/>
      <w:bookmarkStart w:id="192" w:name="_Toc494649708"/>
      <w:r>
        <w:t>*15.01</w:t>
      </w:r>
      <w:r>
        <w:tab/>
        <w:t>F17</w:t>
      </w:r>
      <w:r>
        <w:tab/>
      </w:r>
      <w:r w:rsidRPr="007034EB">
        <w:t>Aligning Transfer Pathways for the California State University and University of California Systems</w:t>
      </w:r>
      <w:bookmarkEnd w:id="188"/>
      <w:bookmarkEnd w:id="189"/>
      <w:bookmarkEnd w:id="190"/>
      <w:bookmarkEnd w:id="191"/>
      <w:bookmarkEnd w:id="192"/>
    </w:p>
    <w:p w14:paraId="4FC70AEF" w14:textId="77777777" w:rsidR="006A621D" w:rsidRPr="007034EB" w:rsidRDefault="006A621D" w:rsidP="006A621D">
      <w:pPr>
        <w:rPr>
          <w:rFonts w:cs="Times New Roman"/>
        </w:rPr>
      </w:pPr>
      <w:r w:rsidRPr="007034EB">
        <w:rPr>
          <w:rFonts w:cs="Times New Roman"/>
        </w:rPr>
        <w:t>Whereas, Preparing students to transfer into baccalaureate degree programs is one of the primary missions of the California community colleges;</w:t>
      </w:r>
    </w:p>
    <w:p w14:paraId="21FB4F4A" w14:textId="77777777" w:rsidR="006A621D" w:rsidRPr="007034EB" w:rsidRDefault="006A621D" w:rsidP="006A621D">
      <w:pPr>
        <w:rPr>
          <w:rFonts w:cs="Times New Roman"/>
        </w:rPr>
      </w:pPr>
    </w:p>
    <w:p w14:paraId="411D82E7" w14:textId="77777777" w:rsidR="006A621D" w:rsidRPr="007034EB" w:rsidRDefault="006A621D" w:rsidP="006A621D">
      <w:pPr>
        <w:rPr>
          <w:rFonts w:cs="Times New Roman"/>
        </w:rPr>
      </w:pPr>
      <w:r w:rsidRPr="007034EB">
        <w:rPr>
          <w:rFonts w:cs="Times New Roman"/>
        </w:rPr>
        <w:t>Whereas, The majority of transfer students are transferring to either a California State University (CSU) or University of California (UC) campus and colleges must develop courses that satisfy the expectations of</w:t>
      </w:r>
      <w:r>
        <w:rPr>
          <w:rFonts w:cs="Times New Roman"/>
        </w:rPr>
        <w:t xml:space="preserve"> and articulate</w:t>
      </w:r>
      <w:r w:rsidRPr="007034EB">
        <w:rPr>
          <w:rFonts w:cs="Times New Roman"/>
        </w:rPr>
        <w:t xml:space="preserve"> to both systems;</w:t>
      </w:r>
    </w:p>
    <w:p w14:paraId="2433BA87" w14:textId="77777777" w:rsidR="006A621D" w:rsidRPr="007034EB" w:rsidRDefault="006A621D" w:rsidP="006A621D">
      <w:pPr>
        <w:rPr>
          <w:rFonts w:cs="Times New Roman"/>
        </w:rPr>
      </w:pPr>
    </w:p>
    <w:p w14:paraId="6F878204" w14:textId="74890F64" w:rsidR="006A621D" w:rsidRPr="007034EB" w:rsidRDefault="006A621D" w:rsidP="006A621D">
      <w:pPr>
        <w:rPr>
          <w:rFonts w:cs="Times New Roman"/>
        </w:rPr>
      </w:pPr>
      <w:r w:rsidRPr="007034EB">
        <w:rPr>
          <w:rFonts w:cs="Times New Roman"/>
        </w:rPr>
        <w:t>Whereas, Associate Degrees for Transfer (ADTs) that guarantee student admission to the CSU system do not always align with the major preparation expected by UC campuses</w:t>
      </w:r>
      <w:r w:rsidR="00B73C08">
        <w:rPr>
          <w:rFonts w:cs="Times New Roman"/>
        </w:rPr>
        <w:t xml:space="preserve"> </w:t>
      </w:r>
      <w:r w:rsidRPr="007034EB">
        <w:rPr>
          <w:rFonts w:cs="Times New Roman"/>
        </w:rPr>
        <w:t xml:space="preserve">outlined </w:t>
      </w:r>
      <w:r w:rsidR="00B73C08">
        <w:rPr>
          <w:rFonts w:cs="Times New Roman"/>
        </w:rPr>
        <w:t xml:space="preserve">in the </w:t>
      </w:r>
      <w:r w:rsidR="00B73C08" w:rsidRPr="007034EB">
        <w:rPr>
          <w:rFonts w:cs="Times New Roman"/>
        </w:rPr>
        <w:t>UC Transfer Pathways (UCTP)</w:t>
      </w:r>
      <w:r w:rsidR="00B73C08">
        <w:rPr>
          <w:rFonts w:cs="Times New Roman"/>
        </w:rPr>
        <w:t xml:space="preserve"> </w:t>
      </w:r>
      <w:r w:rsidRPr="007034EB">
        <w:rPr>
          <w:rFonts w:cs="Times New Roman"/>
        </w:rPr>
        <w:t>for 21 majors; and</w:t>
      </w:r>
    </w:p>
    <w:p w14:paraId="3C93BD67" w14:textId="77777777" w:rsidR="006A621D" w:rsidRPr="007034EB" w:rsidRDefault="006A621D" w:rsidP="006A621D">
      <w:pPr>
        <w:rPr>
          <w:rFonts w:cs="Times New Roman"/>
        </w:rPr>
      </w:pPr>
    </w:p>
    <w:p w14:paraId="0AD5EC44" w14:textId="77777777" w:rsidR="006A621D" w:rsidRPr="007034EB" w:rsidRDefault="006A621D" w:rsidP="006A621D">
      <w:pPr>
        <w:rPr>
          <w:rFonts w:cs="Times New Roman"/>
        </w:rPr>
      </w:pPr>
      <w:r w:rsidRPr="007034EB">
        <w:rPr>
          <w:rFonts w:cs="Times New Roman"/>
        </w:rPr>
        <w:t>Whereas, The different expectation from the UC and CSU systems for transfer students often force students to choose which system they plan to transfer to, which could limit their options when they are ready to transfer;</w:t>
      </w:r>
    </w:p>
    <w:p w14:paraId="4BD5A9FE" w14:textId="77777777" w:rsidR="006A621D" w:rsidRPr="007034EB" w:rsidRDefault="006A621D" w:rsidP="006A621D">
      <w:pPr>
        <w:rPr>
          <w:rFonts w:cs="Times New Roman"/>
        </w:rPr>
      </w:pPr>
    </w:p>
    <w:p w14:paraId="5EE76571" w14:textId="77777777" w:rsidR="006A621D" w:rsidRPr="007034EB" w:rsidRDefault="006A621D" w:rsidP="006A621D">
      <w:pPr>
        <w:rPr>
          <w:rFonts w:cs="Times New Roman"/>
        </w:rPr>
      </w:pPr>
      <w:r w:rsidRPr="007034EB">
        <w:rPr>
          <w:rFonts w:cs="Times New Roman"/>
        </w:rPr>
        <w:t>Resolved, That the Academic Senate for California Community Colleges strongly encourage local senates and curriculum committees to maintain sufficient rigor in all courses to ensure that they will articulate for students transferring to the C</w:t>
      </w:r>
      <w:r>
        <w:rPr>
          <w:rFonts w:cs="Times New Roman"/>
        </w:rPr>
        <w:t>alifornia State University</w:t>
      </w:r>
      <w:r w:rsidRPr="007034EB">
        <w:rPr>
          <w:rFonts w:cs="Times New Roman"/>
        </w:rPr>
        <w:t xml:space="preserve"> </w:t>
      </w:r>
      <w:r>
        <w:rPr>
          <w:rFonts w:cs="Times New Roman"/>
        </w:rPr>
        <w:t>or University of California</w:t>
      </w:r>
      <w:r w:rsidRPr="007034EB">
        <w:rPr>
          <w:rFonts w:cs="Times New Roman"/>
        </w:rPr>
        <w:t xml:space="preserve"> systems; and</w:t>
      </w:r>
    </w:p>
    <w:p w14:paraId="6E2B76AA" w14:textId="77777777" w:rsidR="006A621D" w:rsidRPr="007034EB" w:rsidRDefault="006A621D" w:rsidP="006A621D">
      <w:pPr>
        <w:rPr>
          <w:rFonts w:cs="Times New Roman"/>
        </w:rPr>
      </w:pPr>
    </w:p>
    <w:p w14:paraId="14745710" w14:textId="77777777" w:rsidR="006A621D" w:rsidRPr="007034EB" w:rsidRDefault="006A621D" w:rsidP="006A621D">
      <w:pPr>
        <w:rPr>
          <w:rFonts w:cs="Times New Roman"/>
        </w:rPr>
      </w:pPr>
      <w:r>
        <w:rPr>
          <w:rFonts w:cs="Times New Roman"/>
        </w:rPr>
        <w:t>Resolved</w:t>
      </w:r>
      <w:r w:rsidRPr="007034EB">
        <w:rPr>
          <w:rFonts w:cs="Times New Roman"/>
        </w:rPr>
        <w:t>; That the Academic Senate for California Community Colleges work with the Academic Senates of the California State University and the University of California to identify a single pathway in each of the majors with an Associate Degree for Tr</w:t>
      </w:r>
      <w:r>
        <w:rPr>
          <w:rFonts w:cs="Times New Roman"/>
        </w:rPr>
        <w:t>ansfer</w:t>
      </w:r>
      <w:r w:rsidRPr="007034EB">
        <w:rPr>
          <w:rFonts w:cs="Times New Roman"/>
        </w:rPr>
        <w:t xml:space="preserve"> to ensure that students will be prepared to transfer into either the California State University or the University of California Systems.</w:t>
      </w:r>
    </w:p>
    <w:p w14:paraId="4E3CCBAA" w14:textId="77777777" w:rsidR="006A621D" w:rsidRPr="007034EB" w:rsidRDefault="006A621D" w:rsidP="006A621D">
      <w:pPr>
        <w:rPr>
          <w:rFonts w:cs="Times New Roman"/>
        </w:rPr>
      </w:pPr>
    </w:p>
    <w:p w14:paraId="7D6A5094" w14:textId="6F9FCADC" w:rsidR="006A621D" w:rsidRPr="006A621D" w:rsidRDefault="006A621D" w:rsidP="009314C4">
      <w:pPr>
        <w:rPr>
          <w:rFonts w:cs="Times New Roman"/>
        </w:rPr>
      </w:pPr>
      <w:r>
        <w:rPr>
          <w:rFonts w:cs="Times New Roman"/>
        </w:rPr>
        <w:t xml:space="preserve">Contact: </w:t>
      </w:r>
      <w:r w:rsidRPr="007034EB">
        <w:rPr>
          <w:rFonts w:cs="Times New Roman"/>
        </w:rPr>
        <w:t>Executive Committee</w:t>
      </w:r>
    </w:p>
    <w:p w14:paraId="6CA53190" w14:textId="77777777" w:rsidR="002714B5" w:rsidRDefault="002714B5" w:rsidP="00C23000"/>
    <w:p w14:paraId="523C197E" w14:textId="409679C7" w:rsidR="00830CC5" w:rsidRDefault="00830CC5" w:rsidP="008128FC">
      <w:pPr>
        <w:pStyle w:val="Heading1SectionTitle"/>
      </w:pPr>
      <w:bookmarkStart w:id="193" w:name="_Toc494121962"/>
      <w:bookmarkStart w:id="194" w:name="_Toc494292608"/>
      <w:bookmarkStart w:id="195" w:name="_Toc494293722"/>
      <w:bookmarkStart w:id="196" w:name="_Toc494356246"/>
      <w:bookmarkStart w:id="197" w:name="_Toc494356803"/>
      <w:bookmarkStart w:id="198" w:name="_Toc494643120"/>
      <w:bookmarkStart w:id="199" w:name="_Toc494644366"/>
      <w:bookmarkStart w:id="200" w:name="_Toc494644642"/>
      <w:bookmarkStart w:id="201" w:name="_Toc494644767"/>
      <w:bookmarkStart w:id="202" w:name="_Toc494649709"/>
      <w:r>
        <w:t>17.0</w:t>
      </w:r>
      <w:r>
        <w:tab/>
        <w:t>LOCAL SENATES</w:t>
      </w:r>
      <w:bookmarkEnd w:id="193"/>
      <w:bookmarkEnd w:id="194"/>
      <w:bookmarkEnd w:id="195"/>
      <w:bookmarkEnd w:id="196"/>
      <w:bookmarkEnd w:id="197"/>
      <w:bookmarkEnd w:id="198"/>
      <w:bookmarkEnd w:id="199"/>
      <w:bookmarkEnd w:id="200"/>
      <w:bookmarkEnd w:id="201"/>
      <w:bookmarkEnd w:id="202"/>
    </w:p>
    <w:p w14:paraId="648B9BE6" w14:textId="456B7BA8" w:rsidR="00830CC5" w:rsidRDefault="00777876" w:rsidP="008128FC">
      <w:pPr>
        <w:pStyle w:val="Heading2ResolutionTitle"/>
      </w:pPr>
      <w:bookmarkStart w:id="203" w:name="_Toc494121963"/>
      <w:bookmarkStart w:id="204" w:name="_Toc494292609"/>
      <w:bookmarkStart w:id="205" w:name="_Toc494293723"/>
      <w:bookmarkStart w:id="206" w:name="_Toc494356247"/>
      <w:bookmarkStart w:id="207" w:name="_Toc494356804"/>
      <w:bookmarkStart w:id="208" w:name="_Toc494643121"/>
      <w:bookmarkStart w:id="209" w:name="_Toc494644367"/>
      <w:bookmarkStart w:id="210" w:name="_Toc494644643"/>
      <w:bookmarkStart w:id="211" w:name="_Toc494644768"/>
      <w:bookmarkStart w:id="212" w:name="_Toc494649710"/>
      <w:r>
        <w:t>*17.01</w:t>
      </w:r>
      <w:r>
        <w:tab/>
      </w:r>
      <w:r w:rsidR="00F65FA2">
        <w:t>F17</w:t>
      </w:r>
      <w:r w:rsidR="00F65FA2">
        <w:tab/>
      </w:r>
      <w:r w:rsidR="00830CC5">
        <w:t>Faculty Involvement in Scheduling of Courses</w:t>
      </w:r>
      <w:bookmarkEnd w:id="203"/>
      <w:bookmarkEnd w:id="204"/>
      <w:bookmarkEnd w:id="205"/>
      <w:bookmarkEnd w:id="206"/>
      <w:bookmarkEnd w:id="207"/>
      <w:bookmarkEnd w:id="208"/>
      <w:bookmarkEnd w:id="209"/>
      <w:bookmarkEnd w:id="210"/>
      <w:bookmarkEnd w:id="211"/>
      <w:bookmarkEnd w:id="212"/>
    </w:p>
    <w:p w14:paraId="2DADE2B4" w14:textId="49206258" w:rsidR="00830CC5" w:rsidRPr="00830CC5" w:rsidRDefault="00830CC5" w:rsidP="00830CC5">
      <w:r w:rsidRPr="00830CC5">
        <w:t xml:space="preserve">Whereas, Many California community colleges are in various stages of implementing institution-wide reforms based on the California Community Colleges </w:t>
      </w:r>
      <w:r w:rsidRPr="00830CC5">
        <w:rPr>
          <w:i/>
        </w:rPr>
        <w:t>Vision for Success</w:t>
      </w:r>
      <w:r w:rsidRPr="00830CC5">
        <w:t xml:space="preserve"> and the Chancellor’s emphasis on the Guided Pathways framework, on their campuses;</w:t>
      </w:r>
    </w:p>
    <w:p w14:paraId="02DEE331" w14:textId="77777777" w:rsidR="00830CC5" w:rsidRPr="00830CC5" w:rsidRDefault="00830CC5" w:rsidP="00830CC5"/>
    <w:p w14:paraId="3BBE9370" w14:textId="513D9F71" w:rsidR="00830CC5" w:rsidRPr="00830CC5" w:rsidRDefault="00830CC5" w:rsidP="00830CC5">
      <w:r w:rsidRPr="00830CC5">
        <w:t>Whereas, The implementation of local initiatives and reforms based on the guided pathways framework may result in changes in course section scheduling procedures that potentially infringe on areas of faculty purview such as curriculum development</w:t>
      </w:r>
      <w:r w:rsidR="00414F6B">
        <w:t>, student preparation and success,</w:t>
      </w:r>
      <w:r w:rsidRPr="00830CC5">
        <w:t xml:space="preserve"> and educational program development, which are academic and professional matters with </w:t>
      </w:r>
      <w:r w:rsidR="00414F6B">
        <w:t>academic senate</w:t>
      </w:r>
      <w:r w:rsidR="00414F6B" w:rsidRPr="00830CC5">
        <w:t xml:space="preserve"> </w:t>
      </w:r>
      <w:r w:rsidRPr="00830CC5">
        <w:t xml:space="preserve">primacy as defined in California Education Code section 70902(b)(7) and Title 5 §53200; </w:t>
      </w:r>
    </w:p>
    <w:p w14:paraId="192AF1DB" w14:textId="77777777" w:rsidR="00830CC5" w:rsidRPr="00830CC5" w:rsidRDefault="00830CC5" w:rsidP="00830CC5"/>
    <w:p w14:paraId="1F8D1196" w14:textId="6DB07733" w:rsidR="00830CC5" w:rsidRPr="00830CC5" w:rsidRDefault="00830CC5" w:rsidP="00830CC5">
      <w:r w:rsidRPr="00830CC5">
        <w:t>Whereas, Resolution 6.02 S91 stated, “shared governance should include faculty involvement in deciding the scheduling of classes,” and local senates should “develop a procedure whereby faculty are involved in scheduling classes and determining which courses are offered”; and</w:t>
      </w:r>
    </w:p>
    <w:p w14:paraId="01E875B9" w14:textId="77777777" w:rsidR="00830CC5" w:rsidRPr="00830CC5" w:rsidRDefault="00830CC5" w:rsidP="00830CC5"/>
    <w:p w14:paraId="4DF8DF99" w14:textId="58F5BEAC" w:rsidR="00830CC5" w:rsidRPr="00830CC5" w:rsidRDefault="00830CC5" w:rsidP="00830CC5">
      <w:r w:rsidRPr="00830CC5">
        <w:t>Whereas, The Academic Senate for California Community Colleges is developing resources to highlight effective practices to assist community colleges that are exploring and implementing pathway models per Resolution 9.03 S16 including resources related to scheduling and curriculum development;</w:t>
      </w:r>
    </w:p>
    <w:p w14:paraId="5FA6BC8F" w14:textId="77777777" w:rsidR="00830CC5" w:rsidRPr="00830CC5" w:rsidRDefault="00830CC5" w:rsidP="00830CC5"/>
    <w:p w14:paraId="1A9CB1D6" w14:textId="69D2AD74" w:rsidR="00830CC5" w:rsidRPr="00830CC5" w:rsidRDefault="00830CC5" w:rsidP="00830CC5">
      <w:r w:rsidRPr="00830CC5">
        <w:t>Resolved, That the Academic Senate of California Community Colleges urge local senates to continue to assert their purview in the development of procedures for scheduling classes and</w:t>
      </w:r>
      <w:r w:rsidR="00F22227">
        <w:t xml:space="preserve"> the faculty role in</w:t>
      </w:r>
      <w:r w:rsidRPr="00830CC5">
        <w:t xml:space="preserve"> determining which courses are offered within programs to support student achievement of their academic goals.</w:t>
      </w:r>
    </w:p>
    <w:p w14:paraId="66AAC6B8" w14:textId="67CAA793" w:rsidR="00830CC5" w:rsidRDefault="00830CC5" w:rsidP="00C23000"/>
    <w:p w14:paraId="3D0DE4D5" w14:textId="0FD95BCB" w:rsidR="00830CC5" w:rsidRDefault="00873E14" w:rsidP="00C23000">
      <w:r>
        <w:t>Contact: Executive Committee</w:t>
      </w:r>
    </w:p>
    <w:p w14:paraId="4795FE45" w14:textId="77777777" w:rsidR="00382BCD" w:rsidRDefault="00382BCD" w:rsidP="00C23000"/>
    <w:p w14:paraId="5562C6D5" w14:textId="706A456C" w:rsidR="00382BCD" w:rsidRPr="00D77FC6" w:rsidRDefault="00382BCD" w:rsidP="00951FCB">
      <w:pPr>
        <w:pStyle w:val="Heading2ResolutionTitle"/>
      </w:pPr>
      <w:bookmarkStart w:id="213" w:name="_Toc494643122"/>
      <w:bookmarkStart w:id="214" w:name="_Toc494644368"/>
      <w:bookmarkStart w:id="215" w:name="_Toc494644644"/>
      <w:bookmarkStart w:id="216" w:name="_Toc494644769"/>
      <w:bookmarkStart w:id="217" w:name="_Toc494649711"/>
      <w:r>
        <w:t>*17.02</w:t>
      </w:r>
      <w:r>
        <w:tab/>
      </w:r>
      <w:r w:rsidR="00F65FA2">
        <w:t>F17</w:t>
      </w:r>
      <w:r w:rsidR="00F65FA2">
        <w:tab/>
      </w:r>
      <w:r w:rsidRPr="00D77FC6">
        <w:t>Local Academic Senate Role in Developing and Implementing Guided Pathways Frameworks</w:t>
      </w:r>
      <w:bookmarkEnd w:id="213"/>
      <w:bookmarkEnd w:id="214"/>
      <w:bookmarkEnd w:id="215"/>
      <w:bookmarkEnd w:id="216"/>
      <w:bookmarkEnd w:id="217"/>
    </w:p>
    <w:p w14:paraId="542F1087" w14:textId="441A9661" w:rsidR="00382BCD" w:rsidRPr="00D77FC6" w:rsidRDefault="00382BCD" w:rsidP="00382BCD">
      <w:pPr>
        <w:rPr>
          <w:rFonts w:cs="Times New Roman"/>
        </w:rPr>
      </w:pPr>
      <w:r w:rsidRPr="00D77FC6">
        <w:rPr>
          <w:rFonts w:cs="Times New Roman"/>
        </w:rPr>
        <w:t xml:space="preserve">Whereas, </w:t>
      </w:r>
      <w:r w:rsidR="00414F6B">
        <w:rPr>
          <w:rFonts w:cs="Times New Roman"/>
        </w:rPr>
        <w:t>T</w:t>
      </w:r>
      <w:r w:rsidRPr="00D77FC6">
        <w:rPr>
          <w:rFonts w:cs="Times New Roman"/>
        </w:rPr>
        <w:t xml:space="preserve">he California Community Colleges Chancellor’s Office has stated in the recently approved </w:t>
      </w:r>
      <w:r w:rsidRPr="00D77FC6">
        <w:rPr>
          <w:rFonts w:cs="Times New Roman"/>
          <w:i/>
        </w:rPr>
        <w:t>Vision for Success</w:t>
      </w:r>
      <w:r w:rsidRPr="00D77FC6">
        <w:rPr>
          <w:rFonts w:cs="Times New Roman"/>
        </w:rPr>
        <w:t xml:space="preserve"> that “Colleges can use the Guided Pathways framework to bring about transformational change” and “the entire system is expected to adopt Guided Pathways over time”; </w:t>
      </w:r>
    </w:p>
    <w:p w14:paraId="2C99E63B" w14:textId="77777777" w:rsidR="00382BCD" w:rsidRPr="00D77FC6" w:rsidRDefault="00382BCD" w:rsidP="00382BCD">
      <w:pPr>
        <w:rPr>
          <w:rFonts w:cs="Times New Roman"/>
        </w:rPr>
      </w:pPr>
    </w:p>
    <w:p w14:paraId="27224173" w14:textId="7A699CE9" w:rsidR="00382BCD" w:rsidRPr="00D77FC6" w:rsidRDefault="00382BCD" w:rsidP="00382BCD">
      <w:pPr>
        <w:rPr>
          <w:rFonts w:cs="Times New Roman"/>
        </w:rPr>
      </w:pPr>
      <w:r w:rsidRPr="00D77FC6">
        <w:rPr>
          <w:rFonts w:cs="Times New Roman"/>
        </w:rPr>
        <w:t xml:space="preserve">Whereas, </w:t>
      </w:r>
      <w:r w:rsidR="00414F6B">
        <w:rPr>
          <w:rFonts w:cs="Times New Roman"/>
        </w:rPr>
        <w:t>A</w:t>
      </w:r>
      <w:r w:rsidR="00414F6B" w:rsidRPr="00D77FC6">
        <w:rPr>
          <w:rFonts w:cs="Times New Roman"/>
        </w:rPr>
        <w:t xml:space="preserve"> </w:t>
      </w:r>
      <w:r w:rsidR="00414F6B">
        <w:rPr>
          <w:rFonts w:cs="Times New Roman"/>
        </w:rPr>
        <w:t>g</w:t>
      </w:r>
      <w:r w:rsidRPr="00D77FC6">
        <w:rPr>
          <w:rFonts w:cs="Times New Roman"/>
        </w:rPr>
        <w:t xml:space="preserve">uided </w:t>
      </w:r>
      <w:r w:rsidR="00414F6B">
        <w:rPr>
          <w:rFonts w:cs="Times New Roman"/>
        </w:rPr>
        <w:t>p</w:t>
      </w:r>
      <w:r w:rsidRPr="00D77FC6">
        <w:rPr>
          <w:rFonts w:cs="Times New Roman"/>
        </w:rPr>
        <w:t>athways framework calls on coll</w:t>
      </w:r>
      <w:r w:rsidR="00F65FA2">
        <w:rPr>
          <w:rFonts w:cs="Times New Roman"/>
        </w:rPr>
        <w:t>eges to make significant change</w:t>
      </w:r>
      <w:r w:rsidRPr="00D77FC6">
        <w:rPr>
          <w:rFonts w:cs="Times New Roman"/>
        </w:rPr>
        <w:t xml:space="preserve"> to processes that support existing curriculum and academic standards that have been agreed upon through governance processes that respect and uphold local districts</w:t>
      </w:r>
      <w:r w:rsidR="00E470D2">
        <w:rPr>
          <w:rFonts w:cs="Times New Roman"/>
        </w:rPr>
        <w:t>’</w:t>
      </w:r>
      <w:r w:rsidRPr="00D77FC6">
        <w:rPr>
          <w:rFonts w:cs="Times New Roman"/>
        </w:rPr>
        <w:t xml:space="preserve"> 10 + 1 agreements; </w:t>
      </w:r>
    </w:p>
    <w:p w14:paraId="68358E59" w14:textId="77777777" w:rsidR="00382BCD" w:rsidRPr="00D77FC6" w:rsidRDefault="00382BCD" w:rsidP="00382BCD">
      <w:pPr>
        <w:rPr>
          <w:rFonts w:cs="Times New Roman"/>
        </w:rPr>
      </w:pPr>
    </w:p>
    <w:p w14:paraId="69A2E7A9" w14:textId="40B599C5" w:rsidR="00382BCD" w:rsidRPr="00D77FC6" w:rsidRDefault="00382BCD" w:rsidP="00382BCD">
      <w:pPr>
        <w:rPr>
          <w:rFonts w:cs="Times New Roman"/>
        </w:rPr>
      </w:pPr>
      <w:r w:rsidRPr="00D77FC6">
        <w:rPr>
          <w:rFonts w:cs="Times New Roman"/>
        </w:rPr>
        <w:t xml:space="preserve">Whereas, Education Code §70902 (B)(7) states “The </w:t>
      </w:r>
      <w:r w:rsidR="000442DB">
        <w:rPr>
          <w:rFonts w:cs="Times New Roman"/>
        </w:rPr>
        <w:t>g</w:t>
      </w:r>
      <w:r w:rsidRPr="00D77FC6">
        <w:rPr>
          <w:rFonts w:cs="Times New Roman"/>
        </w:rPr>
        <w:t xml:space="preserve">overning </w:t>
      </w:r>
      <w:r w:rsidR="00E470D2">
        <w:rPr>
          <w:rFonts w:cs="Times New Roman"/>
        </w:rPr>
        <w:t>b</w:t>
      </w:r>
      <w:r w:rsidRPr="00D77FC6">
        <w:rPr>
          <w:rFonts w:cs="Times New Roman"/>
        </w:rPr>
        <w:t>oard shall … ensure</w:t>
      </w:r>
      <w:r w:rsidR="000442DB">
        <w:rPr>
          <w:rFonts w:cs="Times New Roman"/>
        </w:rPr>
        <w:t xml:space="preserve"> </w:t>
      </w:r>
      <w:r w:rsidRPr="00D77FC6">
        <w:rPr>
          <w:rFonts w:cs="Times New Roman"/>
        </w:rPr>
        <w:t>the right of academic senates to assume primary responsibility for making recommendation</w:t>
      </w:r>
      <w:r w:rsidR="000442DB">
        <w:rPr>
          <w:rFonts w:cs="Times New Roman"/>
        </w:rPr>
        <w:t>s</w:t>
      </w:r>
      <w:r w:rsidRPr="00D77FC6">
        <w:rPr>
          <w:rFonts w:cs="Times New Roman"/>
        </w:rPr>
        <w:t xml:space="preserve"> in the areas of curriculum and a</w:t>
      </w:r>
      <w:r>
        <w:rPr>
          <w:rFonts w:cs="Times New Roman"/>
        </w:rPr>
        <w:t>cademic standards” and Title 5 §</w:t>
      </w:r>
      <w:r w:rsidRPr="00D77FC6">
        <w:rPr>
          <w:rFonts w:cs="Times New Roman"/>
        </w:rPr>
        <w:t xml:space="preserve">53203 requires that a local college </w:t>
      </w:r>
      <w:r w:rsidR="00414F6B">
        <w:rPr>
          <w:rFonts w:cs="Times New Roman"/>
        </w:rPr>
        <w:t>g</w:t>
      </w:r>
      <w:r w:rsidRPr="00D77FC6">
        <w:rPr>
          <w:rFonts w:cs="Times New Roman"/>
        </w:rPr>
        <w:t xml:space="preserve">overning </w:t>
      </w:r>
      <w:r w:rsidR="00414F6B">
        <w:rPr>
          <w:rFonts w:cs="Times New Roman"/>
        </w:rPr>
        <w:t>b</w:t>
      </w:r>
      <w:r w:rsidRPr="00D77FC6">
        <w:rPr>
          <w:rFonts w:cs="Times New Roman"/>
        </w:rPr>
        <w:t xml:space="preserve">oard shall adopt policies delegating authority and responsibility to its </w:t>
      </w:r>
      <w:r w:rsidR="00414F6B">
        <w:rPr>
          <w:rFonts w:cs="Times New Roman"/>
        </w:rPr>
        <w:t>a</w:t>
      </w:r>
      <w:r w:rsidRPr="00D77FC6">
        <w:rPr>
          <w:rFonts w:cs="Times New Roman"/>
        </w:rPr>
        <w:t xml:space="preserve">cademic </w:t>
      </w:r>
      <w:r w:rsidR="00414F6B">
        <w:rPr>
          <w:rFonts w:cs="Times New Roman"/>
        </w:rPr>
        <w:t>s</w:t>
      </w:r>
      <w:r w:rsidRPr="00D77FC6">
        <w:rPr>
          <w:rFonts w:cs="Times New Roman"/>
        </w:rPr>
        <w:t xml:space="preserve">enate and those policies are adopted through collegial consultation with the </w:t>
      </w:r>
      <w:r w:rsidR="00414F6B">
        <w:rPr>
          <w:rFonts w:cs="Times New Roman"/>
        </w:rPr>
        <w:t>a</w:t>
      </w:r>
      <w:r w:rsidRPr="00D77FC6">
        <w:rPr>
          <w:rFonts w:cs="Times New Roman"/>
        </w:rPr>
        <w:t xml:space="preserve">cademic </w:t>
      </w:r>
      <w:r w:rsidR="00414F6B">
        <w:rPr>
          <w:rFonts w:cs="Times New Roman"/>
        </w:rPr>
        <w:t>s</w:t>
      </w:r>
      <w:r w:rsidRPr="00D77FC6">
        <w:rPr>
          <w:rFonts w:cs="Times New Roman"/>
        </w:rPr>
        <w:t xml:space="preserve">enate; and </w:t>
      </w:r>
    </w:p>
    <w:p w14:paraId="299E3DD9" w14:textId="77777777" w:rsidR="00382BCD" w:rsidRPr="00D77FC6" w:rsidRDefault="00382BCD" w:rsidP="00382BCD">
      <w:pPr>
        <w:rPr>
          <w:rFonts w:cs="Times New Roman"/>
        </w:rPr>
      </w:pPr>
    </w:p>
    <w:p w14:paraId="36B7868C" w14:textId="77777777" w:rsidR="00382BCD" w:rsidRPr="00D77FC6" w:rsidRDefault="00382BCD" w:rsidP="00382BCD">
      <w:pPr>
        <w:rPr>
          <w:rFonts w:cs="Times New Roman"/>
        </w:rPr>
      </w:pPr>
      <w:r w:rsidRPr="00D77FC6">
        <w:rPr>
          <w:rFonts w:cs="Times New Roman"/>
        </w:rPr>
        <w:t>Whereas, Resolution FA14 17.01 “Consulting Collegially with Local Senates on Participation in Statewide Initiatives” reminds “governing boards and their designees that they must engage in collegial consultation with local senates before and during participation in any current or future statewide initiatives which encompass academic and professional matters;”</w:t>
      </w:r>
      <w:r w:rsidRPr="00D77FC6">
        <w:rPr>
          <w:rFonts w:cs="Times New Roman"/>
        </w:rPr>
        <w:br/>
      </w:r>
    </w:p>
    <w:p w14:paraId="39B18519" w14:textId="77777777" w:rsidR="00382BCD" w:rsidRPr="00D77FC6" w:rsidRDefault="00382BCD" w:rsidP="00382BCD">
      <w:pPr>
        <w:rPr>
          <w:rFonts w:cs="Times New Roman"/>
        </w:rPr>
      </w:pPr>
      <w:r w:rsidRPr="00D77FC6">
        <w:rPr>
          <w:rFonts w:cs="Times New Roman"/>
        </w:rPr>
        <w:t>Resolved, That the Academic Senate for California Communi</w:t>
      </w:r>
      <w:r>
        <w:rPr>
          <w:rFonts w:cs="Times New Roman"/>
        </w:rPr>
        <w:t>ty Colleges affirm the right of</w:t>
      </w:r>
      <w:r w:rsidRPr="00D77FC6">
        <w:rPr>
          <w:rFonts w:cs="Times New Roman"/>
        </w:rPr>
        <w:t xml:space="preserve"> local academic senates and senate leaders to play central roles in the development of all elements of a guided pathways framework at their college that are relevant to academic and professional matters; and </w:t>
      </w:r>
    </w:p>
    <w:p w14:paraId="6A4BDA8F" w14:textId="77777777" w:rsidR="00382BCD" w:rsidRPr="00D77FC6" w:rsidRDefault="00382BCD" w:rsidP="00382BCD">
      <w:pPr>
        <w:rPr>
          <w:rFonts w:cs="Times New Roman"/>
        </w:rPr>
      </w:pPr>
    </w:p>
    <w:p w14:paraId="7B0C8EEA" w14:textId="77777777" w:rsidR="00382BCD" w:rsidRPr="00D77FC6" w:rsidRDefault="00382BCD" w:rsidP="00382BCD">
      <w:pPr>
        <w:rPr>
          <w:rFonts w:cs="Times New Roman"/>
        </w:rPr>
      </w:pPr>
      <w:r w:rsidRPr="00D77FC6">
        <w:rPr>
          <w:rFonts w:cs="Times New Roman"/>
        </w:rPr>
        <w:t xml:space="preserve">Resolved, That the Academic Senate for California Community Colleges support local senates with information and resources to help faculty understand their role in developing guided pathways frameworks and reforms that grow from a guided pathways framework. </w:t>
      </w:r>
    </w:p>
    <w:p w14:paraId="2BD3A796" w14:textId="77777777" w:rsidR="00382BCD" w:rsidRPr="00D77FC6" w:rsidRDefault="00382BCD" w:rsidP="00382BCD">
      <w:pPr>
        <w:rPr>
          <w:rFonts w:cs="Times New Roman"/>
        </w:rPr>
      </w:pPr>
    </w:p>
    <w:p w14:paraId="71D0F3A4" w14:textId="77777777" w:rsidR="00382BCD" w:rsidRPr="00D77FC6" w:rsidRDefault="00382BCD" w:rsidP="00382BCD">
      <w:pPr>
        <w:rPr>
          <w:rFonts w:cs="Times New Roman"/>
        </w:rPr>
      </w:pPr>
      <w:r>
        <w:rPr>
          <w:rFonts w:cs="Times New Roman"/>
        </w:rPr>
        <w:t>Contact: Executive Committee</w:t>
      </w:r>
    </w:p>
    <w:p w14:paraId="60486BF7" w14:textId="77777777" w:rsidR="00382BCD" w:rsidRDefault="00382BCD" w:rsidP="00C23000"/>
    <w:p w14:paraId="4255DD7E" w14:textId="77777777" w:rsidR="007A333E" w:rsidRPr="00E92680" w:rsidRDefault="007A333E" w:rsidP="007A333E">
      <w:pPr>
        <w:pStyle w:val="Heading2ResolutionTitle"/>
      </w:pPr>
      <w:bookmarkStart w:id="218" w:name="_Toc494644369"/>
      <w:bookmarkStart w:id="219" w:name="_Toc494644645"/>
      <w:bookmarkStart w:id="220" w:name="_Toc494644770"/>
      <w:bookmarkStart w:id="221" w:name="_Toc494649712"/>
      <w:r>
        <w:t>*17.03</w:t>
      </w:r>
      <w:r>
        <w:tab/>
        <w:t>F17</w:t>
      </w:r>
      <w:r>
        <w:tab/>
        <w:t>Application of Faculty Policies to Apprenticeship Instructors</w:t>
      </w:r>
      <w:bookmarkEnd w:id="218"/>
      <w:bookmarkEnd w:id="219"/>
      <w:bookmarkEnd w:id="220"/>
      <w:bookmarkEnd w:id="221"/>
    </w:p>
    <w:p w14:paraId="09739C07" w14:textId="77777777" w:rsidR="007A333E" w:rsidRPr="0007641F" w:rsidRDefault="007A333E" w:rsidP="007A333E">
      <w:pPr>
        <w:rPr>
          <w:rFonts w:cs="Times New Roman"/>
        </w:rPr>
      </w:pPr>
      <w:r w:rsidRPr="0007641F">
        <w:rPr>
          <w:rFonts w:cs="Times New Roman"/>
        </w:rPr>
        <w:t>Whereas, While apprenticeship programs may be operated by colleges, apprenticeship instructors assigned</w:t>
      </w:r>
      <w:r>
        <w:rPr>
          <w:rFonts w:cs="Times New Roman"/>
        </w:rPr>
        <w:t xml:space="preserve"> to teach credit and noncredit Related and Supplemental I</w:t>
      </w:r>
      <w:r w:rsidRPr="0007641F">
        <w:rPr>
          <w:rFonts w:cs="Times New Roman"/>
        </w:rPr>
        <w:t>nstruction courses (RSI) within apprenticeship programs are normally selected, trained, and supervised by trade union apprenticeship training center directors, and typically are not integrat</w:t>
      </w:r>
      <w:r>
        <w:rPr>
          <w:rFonts w:cs="Times New Roman"/>
        </w:rPr>
        <w:t>ed into the</w:t>
      </w:r>
      <w:r w:rsidRPr="0007641F">
        <w:rPr>
          <w:rFonts w:cs="Times New Roman"/>
        </w:rPr>
        <w:t xml:space="preserve"> pro</w:t>
      </w:r>
      <w:r>
        <w:rPr>
          <w:rFonts w:cs="Times New Roman"/>
        </w:rPr>
        <w:t>fessional life of</w:t>
      </w:r>
      <w:r w:rsidRPr="0007641F">
        <w:rPr>
          <w:rFonts w:cs="Times New Roman"/>
        </w:rPr>
        <w:t xml:space="preserve"> the colleges that have apprenticeship programs;</w:t>
      </w:r>
    </w:p>
    <w:p w14:paraId="3335711D" w14:textId="77777777" w:rsidR="007A333E" w:rsidRPr="0007641F" w:rsidRDefault="007A333E" w:rsidP="007A333E">
      <w:pPr>
        <w:rPr>
          <w:rFonts w:cs="Times New Roman"/>
        </w:rPr>
      </w:pPr>
    </w:p>
    <w:p w14:paraId="244144B2" w14:textId="77777777" w:rsidR="007A333E" w:rsidRPr="0007641F" w:rsidRDefault="007A333E" w:rsidP="007A333E">
      <w:pPr>
        <w:rPr>
          <w:rFonts w:cs="Times New Roman"/>
        </w:rPr>
      </w:pPr>
      <w:r w:rsidRPr="0007641F">
        <w:rPr>
          <w:rFonts w:cs="Times New Roman"/>
        </w:rPr>
        <w:t xml:space="preserve">Whereas, </w:t>
      </w:r>
      <w:r>
        <w:rPr>
          <w:rFonts w:cs="Times New Roman"/>
        </w:rPr>
        <w:t xml:space="preserve">A </w:t>
      </w:r>
      <w:r w:rsidRPr="0007641F">
        <w:rPr>
          <w:rFonts w:cs="Times New Roman"/>
        </w:rPr>
        <w:t>lack of integration of apprentice</w:t>
      </w:r>
      <w:r>
        <w:rPr>
          <w:rFonts w:cs="Times New Roman"/>
        </w:rPr>
        <w:t>ship instructors into the</w:t>
      </w:r>
      <w:r w:rsidRPr="0007641F">
        <w:rPr>
          <w:rFonts w:cs="Times New Roman"/>
        </w:rPr>
        <w:t xml:space="preserve"> professional life of college faculty may result in policies and procedures on faculty hiring and equivalency not being applied to apprenticeship instructors, and furthermore, apprenticeship instructors may not be required to adhere to faculty policies under local </w:t>
      </w:r>
      <w:r>
        <w:rPr>
          <w:rFonts w:cs="Times New Roman"/>
        </w:rPr>
        <w:t xml:space="preserve">academic </w:t>
      </w:r>
      <w:r w:rsidRPr="0007641F">
        <w:rPr>
          <w:rFonts w:cs="Times New Roman"/>
        </w:rPr>
        <w:t>senate purview, such as faculty professional development requirements, those aspects of faculty evaluation delegated to senates, nor may they be required to adhere to requirements that are the joint responsibilities of local senates and faculty collective bargaining units; and</w:t>
      </w:r>
    </w:p>
    <w:p w14:paraId="76F52E5D" w14:textId="77777777" w:rsidR="007A333E" w:rsidRPr="0007641F" w:rsidRDefault="007A333E" w:rsidP="007A333E">
      <w:pPr>
        <w:rPr>
          <w:rFonts w:cs="Times New Roman"/>
        </w:rPr>
      </w:pPr>
    </w:p>
    <w:p w14:paraId="37008D7D" w14:textId="77777777" w:rsidR="007A333E" w:rsidRPr="0007641F" w:rsidRDefault="007A333E" w:rsidP="007A333E">
      <w:pPr>
        <w:rPr>
          <w:rFonts w:cs="Times New Roman"/>
        </w:rPr>
      </w:pPr>
      <w:r w:rsidRPr="0007641F">
        <w:rPr>
          <w:rFonts w:cs="Times New Roman"/>
        </w:rPr>
        <w:t xml:space="preserve">Whereas, Recent discussions about allowing colleges to </w:t>
      </w:r>
      <w:r>
        <w:rPr>
          <w:rFonts w:cs="Times New Roman"/>
        </w:rPr>
        <w:t>change the funding of apprenticeship instruction to</w:t>
      </w:r>
      <w:r w:rsidRPr="0007641F">
        <w:rPr>
          <w:rFonts w:cs="Times New Roman"/>
        </w:rPr>
        <w:t xml:space="preserve"> full-time equivalent students (FTES), rather than Related and Suppleme</w:t>
      </w:r>
      <w:r>
        <w:rPr>
          <w:rFonts w:cs="Times New Roman"/>
        </w:rPr>
        <w:t>ntal Instruction (RSI) funds (also known as</w:t>
      </w:r>
      <w:r w:rsidRPr="0007641F">
        <w:rPr>
          <w:rFonts w:cs="Times New Roman"/>
        </w:rPr>
        <w:t xml:space="preserve"> Montoya Money) to encourage the expansion of apprenticeship </w:t>
      </w:r>
      <w:r>
        <w:rPr>
          <w:rFonts w:cs="Times New Roman"/>
        </w:rPr>
        <w:t xml:space="preserve">programs </w:t>
      </w:r>
      <w:r w:rsidRPr="0007641F">
        <w:rPr>
          <w:rFonts w:cs="Times New Roman"/>
        </w:rPr>
        <w:t>beyond the traditional trade union</w:t>
      </w:r>
      <w:r>
        <w:rPr>
          <w:rFonts w:cs="Times New Roman"/>
        </w:rPr>
        <w:t>s</w:t>
      </w:r>
      <w:r w:rsidRPr="0007641F">
        <w:rPr>
          <w:rFonts w:cs="Times New Roman"/>
        </w:rPr>
        <w:t xml:space="preserve">, </w:t>
      </w:r>
      <w:r>
        <w:rPr>
          <w:rFonts w:cs="Times New Roman"/>
        </w:rPr>
        <w:t>shifting the responsibility to the college to directly</w:t>
      </w:r>
      <w:r w:rsidRPr="0007641F">
        <w:rPr>
          <w:rFonts w:cs="Times New Roman"/>
        </w:rPr>
        <w:t xml:space="preserve"> pay for the cost of instruction of apprenticeship courses, including instructor salaries, raises concerns that local policies and procedures that apply to faculty may be circumvented as </w:t>
      </w:r>
      <w:r>
        <w:rPr>
          <w:rFonts w:cs="Times New Roman"/>
        </w:rPr>
        <w:t xml:space="preserve">new </w:t>
      </w:r>
      <w:r w:rsidRPr="0007641F">
        <w:rPr>
          <w:rFonts w:cs="Times New Roman"/>
        </w:rPr>
        <w:t xml:space="preserve">apprenticeship programs are created and </w:t>
      </w:r>
      <w:r>
        <w:rPr>
          <w:rFonts w:cs="Times New Roman"/>
        </w:rPr>
        <w:t xml:space="preserve">existing apprenticeship programs are </w:t>
      </w:r>
      <w:r w:rsidRPr="0007641F">
        <w:rPr>
          <w:rFonts w:cs="Times New Roman"/>
        </w:rPr>
        <w:t>expanded;</w:t>
      </w:r>
    </w:p>
    <w:p w14:paraId="2B40B6E0" w14:textId="77777777" w:rsidR="007A333E" w:rsidRPr="0007641F" w:rsidRDefault="007A333E" w:rsidP="007A333E">
      <w:pPr>
        <w:rPr>
          <w:rFonts w:cs="Times New Roman"/>
        </w:rPr>
      </w:pPr>
    </w:p>
    <w:p w14:paraId="6CB46745" w14:textId="77777777" w:rsidR="007A333E" w:rsidRPr="0007641F" w:rsidRDefault="007A333E" w:rsidP="007A333E">
      <w:pPr>
        <w:rPr>
          <w:rFonts w:cs="Times New Roman"/>
        </w:rPr>
      </w:pPr>
      <w:r w:rsidRPr="0007641F">
        <w:rPr>
          <w:rFonts w:cs="Times New Roman"/>
        </w:rPr>
        <w:t xml:space="preserve">Resolved, That the Academic Senate for California Community Colleges assert that applicants for faculty positions to teach apprenticeship courses for which full-time equivalent students (FTES) are computed and reported to the </w:t>
      </w:r>
      <w:r>
        <w:rPr>
          <w:rFonts w:cs="Times New Roman"/>
        </w:rPr>
        <w:t>Cali</w:t>
      </w:r>
      <w:r w:rsidRPr="0007641F">
        <w:rPr>
          <w:rFonts w:cs="Times New Roman"/>
        </w:rPr>
        <w:t xml:space="preserve">fornia Community Colleges Chancellor’s Office are subject to all local equivalency processes established pursuant to Education Code </w:t>
      </w:r>
      <w:r>
        <w:rPr>
          <w:rFonts w:cs="Times New Roman"/>
        </w:rPr>
        <w:t>§</w:t>
      </w:r>
      <w:r w:rsidRPr="0007641F">
        <w:rPr>
          <w:rFonts w:cs="Times New Roman"/>
        </w:rPr>
        <w:t xml:space="preserve">87359, and to all faculty hiring processes established pursuant to Education Code </w:t>
      </w:r>
      <w:r>
        <w:rPr>
          <w:rFonts w:cs="Times New Roman"/>
        </w:rPr>
        <w:t>§</w:t>
      </w:r>
      <w:r w:rsidRPr="0007641F">
        <w:rPr>
          <w:rFonts w:cs="Times New Roman"/>
        </w:rPr>
        <w:t>87360</w:t>
      </w:r>
      <w:r>
        <w:rPr>
          <w:rFonts w:cs="Times New Roman"/>
        </w:rPr>
        <w:t>;</w:t>
      </w:r>
    </w:p>
    <w:p w14:paraId="5FEAAF3C" w14:textId="77777777" w:rsidR="007A333E" w:rsidRPr="0007641F" w:rsidRDefault="007A333E" w:rsidP="007A333E">
      <w:pPr>
        <w:rPr>
          <w:rFonts w:cs="Times New Roman"/>
        </w:rPr>
      </w:pPr>
    </w:p>
    <w:p w14:paraId="495183A9" w14:textId="77777777" w:rsidR="007A333E" w:rsidRPr="0007641F" w:rsidRDefault="007A333E" w:rsidP="007A333E">
      <w:pPr>
        <w:rPr>
          <w:rFonts w:cs="Times New Roman"/>
        </w:rPr>
      </w:pPr>
      <w:r w:rsidRPr="0007641F">
        <w:rPr>
          <w:rFonts w:cs="Times New Roman"/>
        </w:rPr>
        <w:t xml:space="preserve">Resolved, That the Academic Senate for California Community Colleges assert that all policies and procedures within the purview of local </w:t>
      </w:r>
      <w:r>
        <w:rPr>
          <w:rFonts w:cs="Times New Roman"/>
        </w:rPr>
        <w:t xml:space="preserve">academic </w:t>
      </w:r>
      <w:r w:rsidRPr="0007641F">
        <w:rPr>
          <w:rFonts w:cs="Times New Roman"/>
        </w:rPr>
        <w:t xml:space="preserve">senates that apply to faculty employed by districts, including, but not limited to, the aspects of faculty evaluation processes for which local </w:t>
      </w:r>
      <w:r>
        <w:rPr>
          <w:rFonts w:cs="Times New Roman"/>
        </w:rPr>
        <w:t xml:space="preserve">academic </w:t>
      </w:r>
      <w:r w:rsidRPr="0007641F">
        <w:rPr>
          <w:rFonts w:cs="Times New Roman"/>
        </w:rPr>
        <w:t>senates are responsible, and faculty professional development requirements, including any FLEX requirements, apply to all faculty assigned to teach apprenticeship courses for which FTES is computed and reported to the California Community Colleges Chancellor’s Office; and</w:t>
      </w:r>
    </w:p>
    <w:p w14:paraId="5734D5B1" w14:textId="77777777" w:rsidR="007A333E" w:rsidRPr="0007641F" w:rsidRDefault="007A333E" w:rsidP="007A333E">
      <w:pPr>
        <w:rPr>
          <w:rFonts w:cs="Times New Roman"/>
        </w:rPr>
      </w:pPr>
    </w:p>
    <w:p w14:paraId="20F6C557" w14:textId="77777777" w:rsidR="007A333E" w:rsidRDefault="007A333E" w:rsidP="007A333E">
      <w:pPr>
        <w:rPr>
          <w:rFonts w:cs="Times New Roman"/>
        </w:rPr>
      </w:pPr>
      <w:r w:rsidRPr="0007641F">
        <w:rPr>
          <w:rFonts w:cs="Times New Roman"/>
        </w:rPr>
        <w:t xml:space="preserve">Resolved, That the Academic Senate for California Community Colleges urge local </w:t>
      </w:r>
      <w:r>
        <w:rPr>
          <w:rFonts w:cs="Times New Roman"/>
        </w:rPr>
        <w:t xml:space="preserve">academic </w:t>
      </w:r>
      <w:r w:rsidRPr="0007641F">
        <w:rPr>
          <w:rFonts w:cs="Times New Roman"/>
        </w:rPr>
        <w:t xml:space="preserve">senates to work with local collective bargaining units to ensure that all policies and procedures that apply to faculty employed by districts for which there may be joint senate/union purview are applied to faculty assigned to teach apprenticeship courses for which FTES is computed and reported to the California Community Colleges Chancellor’s Office. </w:t>
      </w:r>
    </w:p>
    <w:p w14:paraId="35FD4C82" w14:textId="77777777" w:rsidR="007A333E" w:rsidRDefault="007A333E" w:rsidP="007A333E">
      <w:pPr>
        <w:rPr>
          <w:rFonts w:cs="Times New Roman"/>
        </w:rPr>
      </w:pPr>
    </w:p>
    <w:p w14:paraId="516CF004" w14:textId="77777777" w:rsidR="007A333E" w:rsidRDefault="007A333E" w:rsidP="007A333E">
      <w:pPr>
        <w:rPr>
          <w:rFonts w:cs="Times New Roman"/>
        </w:rPr>
      </w:pPr>
      <w:r>
        <w:rPr>
          <w:rFonts w:cs="Times New Roman"/>
        </w:rPr>
        <w:t>Contact: Executive Committee</w:t>
      </w:r>
    </w:p>
    <w:p w14:paraId="5B40ACA8" w14:textId="77777777" w:rsidR="007A333E" w:rsidRPr="0007641F" w:rsidRDefault="007A333E" w:rsidP="007A333E">
      <w:pPr>
        <w:rPr>
          <w:rFonts w:cs="Times New Roman"/>
        </w:rPr>
      </w:pPr>
    </w:p>
    <w:p w14:paraId="5B2C95C0" w14:textId="77777777" w:rsidR="007A333E" w:rsidRPr="00787473" w:rsidRDefault="007A333E" w:rsidP="007A333E">
      <w:pPr>
        <w:pStyle w:val="Heading2ResolutionTitle"/>
      </w:pPr>
      <w:bookmarkStart w:id="222" w:name="_Toc494644370"/>
      <w:bookmarkStart w:id="223" w:name="_Toc494644646"/>
      <w:bookmarkStart w:id="224" w:name="_Toc494644771"/>
      <w:bookmarkStart w:id="225" w:name="_Toc494649713"/>
      <w:r>
        <w:t>*17.04</w:t>
      </w:r>
      <w:r>
        <w:tab/>
        <w:t>F17</w:t>
      </w:r>
      <w:r>
        <w:tab/>
      </w:r>
      <w:r w:rsidRPr="00787473">
        <w:t>Local Senate Purview Over Placement of Apprenticeship Courses Within Disciplines</w:t>
      </w:r>
      <w:bookmarkEnd w:id="222"/>
      <w:bookmarkEnd w:id="223"/>
      <w:bookmarkEnd w:id="224"/>
      <w:bookmarkEnd w:id="225"/>
    </w:p>
    <w:p w14:paraId="55172D69" w14:textId="77777777" w:rsidR="007A333E" w:rsidRPr="0007641F" w:rsidRDefault="007A333E" w:rsidP="007A333E">
      <w:pPr>
        <w:rPr>
          <w:rFonts w:cs="Times New Roman"/>
        </w:rPr>
      </w:pPr>
      <w:r w:rsidRPr="0007641F">
        <w:rPr>
          <w:rFonts w:cs="Times New Roman"/>
        </w:rPr>
        <w:t xml:space="preserve">Whereas, Title 5 </w:t>
      </w:r>
      <w:r>
        <w:rPr>
          <w:rFonts w:cs="Times New Roman"/>
        </w:rPr>
        <w:t>§</w:t>
      </w:r>
      <w:r w:rsidRPr="0007641F">
        <w:rPr>
          <w:rFonts w:cs="Times New Roman"/>
        </w:rPr>
        <w:t xml:space="preserve">53200 recognizes the placement of courses within disciplines as a part of curriculum, which is an academic and professional matter under the purview of local </w:t>
      </w:r>
      <w:r>
        <w:rPr>
          <w:rFonts w:cs="Times New Roman"/>
        </w:rPr>
        <w:t xml:space="preserve">academic </w:t>
      </w:r>
      <w:r w:rsidRPr="0007641F">
        <w:rPr>
          <w:rFonts w:cs="Times New Roman"/>
        </w:rPr>
        <w:t>senates;</w:t>
      </w:r>
    </w:p>
    <w:p w14:paraId="7535F50D" w14:textId="77777777" w:rsidR="007A333E" w:rsidRPr="0007641F" w:rsidRDefault="007A333E" w:rsidP="007A333E">
      <w:pPr>
        <w:rPr>
          <w:rFonts w:cs="Times New Roman"/>
        </w:rPr>
      </w:pPr>
    </w:p>
    <w:p w14:paraId="3206E0BF" w14:textId="77777777" w:rsidR="007A333E" w:rsidRPr="0007641F" w:rsidRDefault="007A333E" w:rsidP="007A333E">
      <w:pPr>
        <w:rPr>
          <w:rFonts w:cs="Times New Roman"/>
        </w:rPr>
      </w:pPr>
      <w:r w:rsidRPr="0007641F">
        <w:rPr>
          <w:rFonts w:cs="Times New Roman"/>
        </w:rPr>
        <w:t>Whereas, The placement of courses within disciplines determines the minimum qualifications required for faculty assigned to teach courses in the California community colleges;</w:t>
      </w:r>
    </w:p>
    <w:p w14:paraId="4CE8BDF4" w14:textId="77777777" w:rsidR="007A333E" w:rsidRPr="0007641F" w:rsidRDefault="007A333E" w:rsidP="007A333E">
      <w:pPr>
        <w:rPr>
          <w:rFonts w:cs="Times New Roman"/>
        </w:rPr>
      </w:pPr>
    </w:p>
    <w:p w14:paraId="17CC06D2" w14:textId="77777777" w:rsidR="007A333E" w:rsidRPr="0007641F" w:rsidRDefault="007A333E" w:rsidP="007A333E">
      <w:pPr>
        <w:rPr>
          <w:rFonts w:cs="Times New Roman"/>
        </w:rPr>
      </w:pPr>
      <w:r w:rsidRPr="0007641F">
        <w:rPr>
          <w:rFonts w:cs="Times New Roman"/>
        </w:rPr>
        <w:t xml:space="preserve">Whereas, The purview of local </w:t>
      </w:r>
      <w:r>
        <w:rPr>
          <w:rFonts w:cs="Times New Roman"/>
        </w:rPr>
        <w:t xml:space="preserve">academic </w:t>
      </w:r>
      <w:r w:rsidRPr="0007641F">
        <w:rPr>
          <w:rFonts w:cs="Times New Roman"/>
        </w:rPr>
        <w:t>senates over the placement of courses within disciplines applies to all c</w:t>
      </w:r>
      <w:r>
        <w:rPr>
          <w:rFonts w:cs="Times New Roman"/>
        </w:rPr>
        <w:t>ourses, including</w:t>
      </w:r>
      <w:r w:rsidRPr="0007641F">
        <w:rPr>
          <w:rFonts w:cs="Times New Roman"/>
        </w:rPr>
        <w:t xml:space="preserve"> courses</w:t>
      </w:r>
      <w:r>
        <w:rPr>
          <w:rFonts w:cs="Times New Roman"/>
        </w:rPr>
        <w:t xml:space="preserve"> required for completion of apprenticeship degrees and certificates</w:t>
      </w:r>
      <w:r w:rsidRPr="0007641F">
        <w:rPr>
          <w:rFonts w:cs="Times New Roman"/>
        </w:rPr>
        <w:t>; and</w:t>
      </w:r>
    </w:p>
    <w:p w14:paraId="092E5D37" w14:textId="77777777" w:rsidR="007A333E" w:rsidRPr="0007641F" w:rsidRDefault="007A333E" w:rsidP="007A333E">
      <w:pPr>
        <w:rPr>
          <w:rFonts w:cs="Times New Roman"/>
          <w:color w:val="000000" w:themeColor="text1"/>
        </w:rPr>
      </w:pPr>
    </w:p>
    <w:p w14:paraId="52BABFED" w14:textId="77777777" w:rsidR="007A333E" w:rsidRPr="0007641F" w:rsidRDefault="007A333E" w:rsidP="007A333E">
      <w:pPr>
        <w:rPr>
          <w:rFonts w:eastAsia="Times New Roman" w:cs="Times New Roman"/>
          <w:color w:val="000000" w:themeColor="text1"/>
        </w:rPr>
      </w:pPr>
      <w:r w:rsidRPr="0007641F">
        <w:rPr>
          <w:rFonts w:cs="Times New Roman"/>
          <w:color w:val="000000" w:themeColor="text1"/>
        </w:rPr>
        <w:t>Whereas, The Academic Senate for California Community Colleges approved Resolution 17.03 S17 that asserted “</w:t>
      </w:r>
      <w:r w:rsidRPr="0007641F">
        <w:rPr>
          <w:rFonts w:eastAsia="Times New Roman" w:cs="Times New Roman"/>
          <w:color w:val="000000" w:themeColor="text1"/>
        </w:rPr>
        <w:t>that local academic senate purview over academic and professional matters applies to all academic programs, including apprenticeship”;</w:t>
      </w:r>
    </w:p>
    <w:p w14:paraId="6161C2BC" w14:textId="77777777" w:rsidR="007A333E" w:rsidRPr="0007641F" w:rsidRDefault="007A333E" w:rsidP="007A333E">
      <w:pPr>
        <w:rPr>
          <w:rFonts w:cs="Times New Roman"/>
        </w:rPr>
      </w:pPr>
    </w:p>
    <w:p w14:paraId="7E7885C1" w14:textId="77777777" w:rsidR="007A333E" w:rsidRDefault="007A333E" w:rsidP="007A333E">
      <w:pPr>
        <w:rPr>
          <w:rFonts w:cs="Times New Roman"/>
        </w:rPr>
      </w:pPr>
      <w:r w:rsidRPr="0007641F">
        <w:rPr>
          <w:rFonts w:cs="Times New Roman"/>
        </w:rPr>
        <w:t xml:space="preserve">Resolved, That the Academic Senate for California Community Colleges </w:t>
      </w:r>
      <w:r>
        <w:rPr>
          <w:rFonts w:cs="Times New Roman"/>
        </w:rPr>
        <w:t>urge that</w:t>
      </w:r>
      <w:r w:rsidRPr="0007641F">
        <w:rPr>
          <w:rFonts w:cs="Times New Roman"/>
        </w:rPr>
        <w:t xml:space="preserve"> local </w:t>
      </w:r>
      <w:r>
        <w:rPr>
          <w:rFonts w:cs="Times New Roman"/>
        </w:rPr>
        <w:t xml:space="preserve">academic </w:t>
      </w:r>
      <w:r w:rsidRPr="0007641F">
        <w:rPr>
          <w:rFonts w:cs="Times New Roman"/>
        </w:rPr>
        <w:t>senate</w:t>
      </w:r>
      <w:r>
        <w:rPr>
          <w:rFonts w:cs="Times New Roman"/>
        </w:rPr>
        <w:t xml:space="preserve">s exercise their authority over </w:t>
      </w:r>
      <w:r w:rsidRPr="0007641F">
        <w:rPr>
          <w:rFonts w:cs="Times New Roman"/>
        </w:rPr>
        <w:t>the placement</w:t>
      </w:r>
      <w:r>
        <w:rPr>
          <w:rFonts w:cs="Times New Roman"/>
        </w:rPr>
        <w:t xml:space="preserve"> </w:t>
      </w:r>
      <w:r w:rsidRPr="0007641F">
        <w:rPr>
          <w:rFonts w:cs="Times New Roman"/>
        </w:rPr>
        <w:t>of all courses</w:t>
      </w:r>
      <w:r>
        <w:rPr>
          <w:rFonts w:cs="Times New Roman"/>
        </w:rPr>
        <w:t xml:space="preserve"> required for completion of apprenticeship degrees and certificates </w:t>
      </w:r>
      <w:r w:rsidRPr="0007641F">
        <w:rPr>
          <w:rFonts w:cs="Times New Roman"/>
        </w:rPr>
        <w:t>within disciplines.</w:t>
      </w:r>
    </w:p>
    <w:p w14:paraId="70B026AF" w14:textId="77777777" w:rsidR="007A333E" w:rsidRDefault="007A333E" w:rsidP="007A333E">
      <w:pPr>
        <w:rPr>
          <w:rFonts w:cs="Times New Roman"/>
        </w:rPr>
      </w:pPr>
    </w:p>
    <w:p w14:paraId="30C9053B" w14:textId="77777777" w:rsidR="007A333E" w:rsidRPr="0007641F" w:rsidRDefault="007A333E" w:rsidP="007A333E">
      <w:pPr>
        <w:rPr>
          <w:rFonts w:cs="Times New Roman"/>
        </w:rPr>
      </w:pPr>
      <w:r>
        <w:rPr>
          <w:rFonts w:cs="Times New Roman"/>
        </w:rPr>
        <w:t>Contact: Executive Committee</w:t>
      </w:r>
    </w:p>
    <w:p w14:paraId="2CCCA800" w14:textId="77777777" w:rsidR="007A333E" w:rsidRPr="00C23000" w:rsidRDefault="007A333E" w:rsidP="00C23000"/>
    <w:sectPr w:rsidR="007A333E" w:rsidRPr="00C23000" w:rsidSect="00811182">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E7963" w14:textId="77777777" w:rsidR="005B4DEB" w:rsidRDefault="005B4DEB" w:rsidP="00C8198A">
      <w:r>
        <w:separator/>
      </w:r>
    </w:p>
  </w:endnote>
  <w:endnote w:type="continuationSeparator" w:id="0">
    <w:p w14:paraId="2288D9AA" w14:textId="77777777" w:rsidR="005B4DEB" w:rsidRDefault="005B4DEB" w:rsidP="00C8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 w:name="Times">
    <w:panose1 w:val="020206030504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0EDE" w14:textId="77777777" w:rsidR="003563D8" w:rsidRDefault="003563D8" w:rsidP="001D69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6E80D" w14:textId="77777777" w:rsidR="003563D8" w:rsidRDefault="00356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91664" w14:textId="77777777" w:rsidR="001D6936" w:rsidRDefault="001D6936" w:rsidP="004D7F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57ACF25D" w14:textId="77777777" w:rsidR="001D6936" w:rsidRDefault="001D6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50E2" w14:textId="77777777" w:rsidR="00811182" w:rsidRDefault="00811182" w:rsidP="004D7F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936">
      <w:rPr>
        <w:rStyle w:val="PageNumber"/>
        <w:noProof/>
      </w:rPr>
      <w:t>12</w:t>
    </w:r>
    <w:r>
      <w:rPr>
        <w:rStyle w:val="PageNumber"/>
      </w:rPr>
      <w:fldChar w:fldCharType="end"/>
    </w:r>
  </w:p>
  <w:p w14:paraId="7CC1DB1E" w14:textId="77777777" w:rsidR="00811182" w:rsidRDefault="00811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164DA" w14:textId="77777777" w:rsidR="005B4DEB" w:rsidRDefault="005B4DEB" w:rsidP="00C8198A">
      <w:r>
        <w:separator/>
      </w:r>
    </w:p>
  </w:footnote>
  <w:footnote w:type="continuationSeparator" w:id="0">
    <w:p w14:paraId="236A17AF" w14:textId="77777777" w:rsidR="005B4DEB" w:rsidRDefault="005B4DEB" w:rsidP="00C8198A">
      <w:r>
        <w:continuationSeparator/>
      </w:r>
    </w:p>
  </w:footnote>
  <w:footnote w:id="1">
    <w:p w14:paraId="6BAB84F2" w14:textId="77777777" w:rsidR="003563D8" w:rsidRDefault="003563D8" w:rsidP="004471AC">
      <w:pPr>
        <w:pStyle w:val="FootnoteText"/>
      </w:pPr>
      <w:r>
        <w:rPr>
          <w:rStyle w:val="FootnoteReference"/>
        </w:rPr>
        <w:footnoteRef/>
      </w:r>
      <w:r>
        <w:t xml:space="preserve"> </w:t>
      </w:r>
      <w:hyperlink r:id="rId1" w:history="1">
        <w:r w:rsidRPr="00A93C56">
          <w:rPr>
            <w:rStyle w:val="Hyperlink"/>
          </w:rPr>
          <w:t>https://edsource.org/2017/california-colleges-undaunted-by-trumps-threat-to-end-daca/586746</w:t>
        </w:r>
      </w:hyperlink>
    </w:p>
    <w:p w14:paraId="2E183798" w14:textId="77777777" w:rsidR="003563D8" w:rsidRDefault="003563D8" w:rsidP="004471AC">
      <w:pPr>
        <w:pStyle w:val="FootnoteText"/>
      </w:pPr>
    </w:p>
  </w:footnote>
  <w:footnote w:id="2">
    <w:p w14:paraId="60F8D4CD" w14:textId="6F9632FA" w:rsidR="003563D8" w:rsidRDefault="003563D8">
      <w:pPr>
        <w:pStyle w:val="FootnoteText"/>
      </w:pPr>
      <w:r>
        <w:rPr>
          <w:rStyle w:val="FootnoteReference"/>
        </w:rPr>
        <w:footnoteRef/>
      </w:r>
      <w:r>
        <w:t xml:space="preserve"> </w:t>
      </w:r>
      <w:hyperlink r:id="rId2" w:history="1">
        <w:r w:rsidRPr="00620D8E">
          <w:rPr>
            <w:rStyle w:val="Hyperlink"/>
          </w:rPr>
          <w:t>http://extranet.cccco.edu/HBCUTransfer.aspx</w:t>
        </w:r>
      </w:hyperlink>
      <w:r>
        <w:t xml:space="preserve"> </w:t>
      </w:r>
    </w:p>
  </w:footnote>
  <w:footnote w:id="3">
    <w:p w14:paraId="1F1B2F96" w14:textId="77777777" w:rsidR="003563D8" w:rsidRDefault="003563D8" w:rsidP="002E31B2">
      <w:pPr>
        <w:pStyle w:val="FootnoteText"/>
      </w:pPr>
      <w:r>
        <w:rPr>
          <w:rStyle w:val="FootnoteReference"/>
        </w:rPr>
        <w:footnoteRef/>
      </w:r>
      <w:r>
        <w:t xml:space="preserve"> </w:t>
      </w:r>
      <w:hyperlink r:id="rId3" w:history="1">
        <w:r w:rsidRPr="00A93C56">
          <w:rPr>
            <w:rStyle w:val="Hyperlink"/>
          </w:rPr>
          <w:t>http://extranet.cccco.edu/Divisions/StudentServices/VETS.aspx</w:t>
        </w:r>
      </w:hyperlink>
      <w:r>
        <w:t xml:space="preserve"> </w:t>
      </w:r>
    </w:p>
  </w:footnote>
  <w:footnote w:id="4">
    <w:p w14:paraId="32201B18" w14:textId="77777777" w:rsidR="003563D8" w:rsidRPr="0048030F" w:rsidRDefault="003563D8" w:rsidP="00FD3BCD">
      <w:pPr>
        <w:pStyle w:val="NoSpacing"/>
        <w:rPr>
          <w:sz w:val="20"/>
          <w:szCs w:val="20"/>
        </w:rPr>
      </w:pPr>
      <w:r w:rsidRPr="0048030F">
        <w:rPr>
          <w:rStyle w:val="FootnoteReference"/>
          <w:rFonts w:ascii="Times New Roman" w:hAnsi="Times New Roman" w:cs="Times New Roman"/>
          <w:sz w:val="20"/>
          <w:szCs w:val="20"/>
        </w:rPr>
        <w:footnoteRef/>
      </w:r>
      <w:r w:rsidRPr="0048030F">
        <w:rPr>
          <w:rFonts w:ascii="Times New Roman" w:hAnsi="Times New Roman" w:cs="Times New Roman"/>
          <w:sz w:val="20"/>
          <w:szCs w:val="20"/>
        </w:rPr>
        <w:t xml:space="preserve"> The survey methodology and results are described in the report </w:t>
      </w:r>
      <w:r w:rsidRPr="0048030F">
        <w:rPr>
          <w:rFonts w:ascii="Times New Roman" w:hAnsi="Times New Roman" w:cs="Times New Roman"/>
          <w:i/>
          <w:sz w:val="20"/>
          <w:szCs w:val="20"/>
        </w:rPr>
        <w:t>The Past, Present and Future of Noncredit Education in California</w:t>
      </w:r>
      <w:r w:rsidRPr="0048030F">
        <w:rPr>
          <w:rFonts w:ascii="Times New Roman" w:hAnsi="Times New Roman" w:cs="Times New Roman"/>
          <w:sz w:val="20"/>
          <w:szCs w:val="20"/>
        </w:rPr>
        <w:t xml:space="preserve"> (San Diego Continuing Education, November 2016). </w:t>
      </w:r>
      <w:r>
        <w:rPr>
          <w:rFonts w:ascii="Times New Roman" w:hAnsi="Times New Roman" w:cs="Times New Roman"/>
          <w:sz w:val="20"/>
          <w:szCs w:val="20"/>
        </w:rPr>
        <w:t xml:space="preserve">The report also notes that according to the survey results, 81 colleges offer noncredit instruction. </w:t>
      </w:r>
      <w:r w:rsidRPr="0048030F">
        <w:rPr>
          <w:rFonts w:ascii="Times New Roman" w:hAnsi="Times New Roman" w:cs="Times New Roman"/>
          <w:sz w:val="20"/>
          <w:szCs w:val="20"/>
        </w:rPr>
        <w:t xml:space="preserve">The report is available at </w:t>
      </w:r>
      <w:hyperlink r:id="rId4" w:history="1">
        <w:r w:rsidRPr="0048030F">
          <w:rPr>
            <w:rStyle w:val="Hyperlink"/>
            <w:rFonts w:ascii="Times New Roman" w:hAnsi="Times New Roman" w:cs="Times New Roman"/>
            <w:sz w:val="20"/>
            <w:szCs w:val="20"/>
          </w:rPr>
          <w:t>https://sdce.edu/sites/default/files/iep/The_Past_Present_and_Future_of_Noncredit_in_CA.pdf</w:t>
        </w:r>
      </w:hyperlink>
      <w:r>
        <w:rPr>
          <w:rFonts w:ascii="Times New Roman" w:hAnsi="Times New Roman" w:cs="Times New Roman"/>
          <w:sz w:val="20"/>
          <w:szCs w:val="20"/>
        </w:rPr>
        <w:t>.</w:t>
      </w:r>
    </w:p>
    <w:p w14:paraId="14BC2A68" w14:textId="77777777" w:rsidR="003563D8" w:rsidRDefault="003563D8" w:rsidP="00FD3BCD">
      <w:pPr>
        <w:pStyle w:val="FootnoteText"/>
      </w:pPr>
    </w:p>
  </w:footnote>
  <w:footnote w:id="5">
    <w:p w14:paraId="11B3A496" w14:textId="77777777" w:rsidR="003563D8" w:rsidRPr="0048030F" w:rsidRDefault="003563D8" w:rsidP="00FD3BCD">
      <w:pPr>
        <w:pStyle w:val="FootnoteText"/>
        <w:rPr>
          <w:sz w:val="20"/>
          <w:szCs w:val="20"/>
        </w:rPr>
      </w:pPr>
      <w:r w:rsidRPr="0048030F">
        <w:rPr>
          <w:rStyle w:val="FootnoteReference"/>
          <w:sz w:val="20"/>
          <w:szCs w:val="20"/>
        </w:rPr>
        <w:footnoteRef/>
      </w:r>
      <w:r w:rsidRPr="0048030F">
        <w:rPr>
          <w:sz w:val="20"/>
          <w:szCs w:val="20"/>
        </w:rPr>
        <w:t xml:space="preserve"> Title 5 §58003.1(f) can be accessed at </w:t>
      </w:r>
      <w:hyperlink r:id="rId5" w:history="1">
        <w:r w:rsidRPr="0048030F">
          <w:rPr>
            <w:rStyle w:val="Hyperlink"/>
            <w:sz w:val="20"/>
            <w:szCs w:val="20"/>
          </w:rPr>
          <w:t>https://govt.westlaw.com/calregs/Browse/Home/California/CaliforniaCodeofRegulations?guid=IAFF40F80D48511DEBC02831C6D6C108E&amp;originationContext=documenttoc&amp;transitionType=Default&amp;contextData=(sc.Default)</w:t>
        </w:r>
      </w:hyperlink>
    </w:p>
    <w:p w14:paraId="33BDC8F0" w14:textId="77777777" w:rsidR="003563D8" w:rsidRPr="0048030F" w:rsidRDefault="003563D8" w:rsidP="00FD3BCD">
      <w:pPr>
        <w:pStyle w:val="FootnoteText"/>
        <w:rPr>
          <w:sz w:val="20"/>
          <w:szCs w:val="20"/>
        </w:rPr>
      </w:pPr>
    </w:p>
  </w:footnote>
  <w:footnote w:id="6">
    <w:p w14:paraId="12D26CBE" w14:textId="77777777" w:rsidR="003563D8" w:rsidRPr="0048030F" w:rsidRDefault="003563D8" w:rsidP="00FD3BCD">
      <w:pPr>
        <w:pStyle w:val="FootnoteText"/>
        <w:rPr>
          <w:sz w:val="20"/>
          <w:szCs w:val="20"/>
        </w:rPr>
      </w:pPr>
      <w:r w:rsidRPr="0048030F">
        <w:rPr>
          <w:rStyle w:val="FootnoteReference"/>
          <w:sz w:val="20"/>
          <w:szCs w:val="20"/>
        </w:rPr>
        <w:footnoteRef/>
      </w:r>
      <w:r w:rsidRPr="0048030F">
        <w:rPr>
          <w:sz w:val="20"/>
          <w:szCs w:val="20"/>
        </w:rPr>
        <w:t xml:space="preserve"> Title 5 §55002(c) can be accessed at </w:t>
      </w:r>
      <w:hyperlink r:id="rId6" w:history="1">
        <w:r w:rsidRPr="0048030F">
          <w:rPr>
            <w:rStyle w:val="Hyperlink"/>
            <w:sz w:val="20"/>
            <w:szCs w:val="20"/>
          </w:rPr>
          <w:t>https://govt.westlaw.com/calregs/Browse/Home/California/CaliforniaCodeofRegulations?guid=IA71E3580D48411DEBC02831C6D6C108E&amp;originationContext=documenttoc&amp;transitionType=Default&amp;contextData=(sc.Default)</w:t>
        </w:r>
      </w:hyperlink>
    </w:p>
    <w:p w14:paraId="2DA2686D" w14:textId="77777777" w:rsidR="003563D8" w:rsidRDefault="003563D8" w:rsidP="00FD3BCD">
      <w:pPr>
        <w:pStyle w:val="FootnoteText"/>
      </w:pPr>
    </w:p>
  </w:footnote>
  <w:footnote w:id="7">
    <w:p w14:paraId="2961D9AD" w14:textId="77777777" w:rsidR="003563D8" w:rsidRDefault="003563D8" w:rsidP="00210AE7">
      <w:pPr>
        <w:pStyle w:val="FootnoteText"/>
      </w:pPr>
      <w:r>
        <w:rPr>
          <w:rStyle w:val="FootnoteReference"/>
        </w:rPr>
        <w:footnoteRef/>
      </w:r>
      <w:hyperlink r:id="rId7" w:history="1">
        <w:r w:rsidRPr="00620D8E">
          <w:rPr>
            <w:rStyle w:val="Hyperlink"/>
          </w:rPr>
          <w:t>https://www2.calstate.edu/csu-system/news/Pages/Meet-the-Meta-Major.aspx</w:t>
        </w:r>
      </w:hyperlink>
      <w:r>
        <w:t xml:space="preserve">, </w:t>
      </w:r>
      <w:hyperlink r:id="rId8" w:history="1">
        <w:r w:rsidRPr="00620D8E">
          <w:rPr>
            <w:rStyle w:val="Hyperlink"/>
          </w:rPr>
          <w:t>http://doingwhatmatters.cccco.edu/portals/6/docs/sw/Redesigning%20CC%20for%20Student%20Success%20Jenkins%20August%202014.pdf</w:t>
        </w:r>
      </w:hyperlink>
      <w:r>
        <w:t xml:space="preserve">, </w:t>
      </w:r>
    </w:p>
  </w:footnote>
  <w:footnote w:id="8">
    <w:p w14:paraId="29E884FC" w14:textId="77777777" w:rsidR="003563D8" w:rsidRDefault="003563D8" w:rsidP="00210AE7">
      <w:pPr>
        <w:pStyle w:val="FootnoteText"/>
      </w:pPr>
      <w:r>
        <w:rPr>
          <w:rStyle w:val="FootnoteReference"/>
        </w:rPr>
        <w:footnoteRef/>
      </w:r>
      <w:hyperlink r:id="rId9" w:history="1">
        <w:r w:rsidRPr="00620D8E">
          <w:rPr>
            <w:rStyle w:val="Hyperlink"/>
          </w:rPr>
          <w:t>http://www.jff.org/publications/meta-majors-essential-first-step-path-college-completion</w:t>
        </w:r>
      </w:hyperlink>
      <w:r>
        <w:t xml:space="preserve">, </w:t>
      </w:r>
      <w:hyperlink r:id="rId10" w:history="1">
        <w:r w:rsidRPr="00620D8E">
          <w:rPr>
            <w:rStyle w:val="Hyperlink"/>
          </w:rPr>
          <w:t>http://valenciacollege.edu/academic-affairs/new-student-experience/meta-majors.cfm</w:t>
        </w:r>
      </w:hyperlink>
      <w:r>
        <w:t xml:space="preserve">, </w:t>
      </w:r>
      <w:hyperlink r:id="rId11" w:history="1">
        <w:r w:rsidRPr="00620D8E">
          <w:rPr>
            <w:rStyle w:val="Hyperlink"/>
          </w:rPr>
          <w:t>http://www.mtsac.edu/instruction/guided_pathways_of_study.html</w:t>
        </w:r>
      </w:hyperlink>
      <w:r>
        <w:t xml:space="preserve"> </w:t>
      </w:r>
    </w:p>
  </w:footnote>
  <w:footnote w:id="9">
    <w:p w14:paraId="3A972646" w14:textId="77777777" w:rsidR="003563D8" w:rsidRPr="00AB1725" w:rsidRDefault="003563D8" w:rsidP="00977CFA">
      <w:pPr>
        <w:pStyle w:val="FootnoteText"/>
      </w:pPr>
      <w:r w:rsidRPr="00AB1725">
        <w:rPr>
          <w:rStyle w:val="FootnoteReference"/>
        </w:rPr>
        <w:footnoteRef/>
      </w:r>
      <w:r w:rsidRPr="00AB1725">
        <w:t xml:space="preserve"> For more information, go to </w:t>
      </w:r>
      <w:hyperlink r:id="rId12" w:history="1">
        <w:r w:rsidRPr="00AB1725">
          <w:rPr>
            <w:rStyle w:val="Hyperlink"/>
          </w:rPr>
          <w:t>http://asccc.org/apprenticeship-minimum-qualifications</w:t>
        </w:r>
      </w:hyperlink>
      <w:r w:rsidRPr="00AB1725">
        <w:t xml:space="preserve">. </w:t>
      </w:r>
    </w:p>
  </w:footnote>
  <w:footnote w:id="10">
    <w:p w14:paraId="53A42F88" w14:textId="77777777" w:rsidR="003563D8" w:rsidRPr="00963C2D" w:rsidRDefault="003563D8" w:rsidP="00977CFA">
      <w:pPr>
        <w:pStyle w:val="FootnoteText"/>
      </w:pPr>
      <w:r w:rsidRPr="00963C2D">
        <w:rPr>
          <w:rStyle w:val="FootnoteReference"/>
        </w:rPr>
        <w:footnoteRef/>
      </w:r>
      <w:r w:rsidRPr="00963C2D">
        <w:t xml:space="preserve"> Local education agencies (LEAs) include school districts, community college districts, and regional occupational programs. </w:t>
      </w:r>
    </w:p>
  </w:footnote>
  <w:footnote w:id="11">
    <w:p w14:paraId="5CC06805" w14:textId="77777777" w:rsidR="003563D8" w:rsidRPr="00626963" w:rsidRDefault="003563D8" w:rsidP="00977CFA">
      <w:pPr>
        <w:pStyle w:val="FootnoteText"/>
      </w:pPr>
      <w:r w:rsidRPr="00626963">
        <w:rPr>
          <w:rStyle w:val="FootnoteReference"/>
        </w:rPr>
        <w:footnoteRef/>
      </w:r>
      <w:r w:rsidRPr="00626963">
        <w:t xml:space="preserve"> The California Apprenticeship Council approved a recommend change to Title 5 section 53413 at its meeting January 25-26, 2017. For more information, go to </w:t>
      </w:r>
      <w:hyperlink r:id="rId13" w:anchor="1" w:history="1">
        <w:r w:rsidRPr="00626963">
          <w:rPr>
            <w:rStyle w:val="Hyperlink"/>
          </w:rPr>
          <w:t>https://www.dir.ca.gov/das/DASMeetings.html#1</w:t>
        </w:r>
      </w:hyperlink>
      <w:r w:rsidRPr="00626963">
        <w:t xml:space="preserve">. </w:t>
      </w:r>
    </w:p>
  </w:footnote>
  <w:footnote w:id="12">
    <w:p w14:paraId="5C636C12" w14:textId="77777777" w:rsidR="003563D8" w:rsidRPr="00AB1725" w:rsidRDefault="003563D8" w:rsidP="00977CFA">
      <w:pPr>
        <w:pStyle w:val="FootnoteText"/>
      </w:pPr>
      <w:r w:rsidRPr="00AB1725">
        <w:rPr>
          <w:rStyle w:val="FootnoteReference"/>
        </w:rPr>
        <w:footnoteRef/>
      </w:r>
      <w:r w:rsidRPr="00AB1725">
        <w:t xml:space="preserve"> For more information go to </w:t>
      </w:r>
      <w:hyperlink r:id="rId14" w:history="1">
        <w:r w:rsidRPr="00AB1725">
          <w:rPr>
            <w:rStyle w:val="Hyperlink"/>
          </w:rPr>
          <w:t>http://asccc.org/apprenticeship-minimum-qualifications</w:t>
        </w:r>
      </w:hyperlink>
      <w:r w:rsidRPr="00AB172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A4F"/>
    <w:multiLevelType w:val="hybridMultilevel"/>
    <w:tmpl w:val="FE56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D2971"/>
    <w:multiLevelType w:val="hybridMultilevel"/>
    <w:tmpl w:val="BFAC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E1123"/>
    <w:multiLevelType w:val="multilevel"/>
    <w:tmpl w:val="340059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1236F9F"/>
    <w:multiLevelType w:val="hybridMultilevel"/>
    <w:tmpl w:val="C7A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377A8"/>
    <w:multiLevelType w:val="multilevel"/>
    <w:tmpl w:val="7B3E8AA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271B7200"/>
    <w:multiLevelType w:val="hybridMultilevel"/>
    <w:tmpl w:val="5828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5195B"/>
    <w:multiLevelType w:val="multilevel"/>
    <w:tmpl w:val="EE189496"/>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15177F"/>
    <w:multiLevelType w:val="multilevel"/>
    <w:tmpl w:val="1A326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F0F7008"/>
    <w:multiLevelType w:val="multilevel"/>
    <w:tmpl w:val="40C085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AF57034"/>
    <w:multiLevelType w:val="multilevel"/>
    <w:tmpl w:val="971EEC0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3E05DF"/>
    <w:multiLevelType w:val="multilevel"/>
    <w:tmpl w:val="C306363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BD0C03"/>
    <w:multiLevelType w:val="multilevel"/>
    <w:tmpl w:val="FD3EEC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A150869"/>
    <w:multiLevelType w:val="hybridMultilevel"/>
    <w:tmpl w:val="9F7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B002ED"/>
    <w:multiLevelType w:val="multilevel"/>
    <w:tmpl w:val="08364A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D835722"/>
    <w:multiLevelType w:val="multilevel"/>
    <w:tmpl w:val="E09EC7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0"/>
  </w:num>
  <w:num w:numId="3">
    <w:abstractNumId w:val="13"/>
  </w:num>
  <w:num w:numId="4">
    <w:abstractNumId w:val="9"/>
  </w:num>
  <w:num w:numId="5">
    <w:abstractNumId w:val="10"/>
  </w:num>
  <w:num w:numId="6">
    <w:abstractNumId w:val="6"/>
  </w:num>
  <w:num w:numId="7">
    <w:abstractNumId w:val="3"/>
  </w:num>
  <w:num w:numId="8">
    <w:abstractNumId w:val="1"/>
  </w:num>
  <w:num w:numId="9">
    <w:abstractNumId w:val="5"/>
  </w:num>
  <w:num w:numId="10">
    <w:abstractNumId w:val="8"/>
  </w:num>
  <w:num w:numId="11">
    <w:abstractNumId w:val="11"/>
  </w:num>
  <w:num w:numId="12">
    <w:abstractNumId w:val="14"/>
  </w:num>
  <w:num w:numId="13">
    <w:abstractNumId w:val="4"/>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B9"/>
    <w:rsid w:val="00000733"/>
    <w:rsid w:val="000139BC"/>
    <w:rsid w:val="00032752"/>
    <w:rsid w:val="000442DB"/>
    <w:rsid w:val="00051768"/>
    <w:rsid w:val="00061624"/>
    <w:rsid w:val="000634C6"/>
    <w:rsid w:val="000658F8"/>
    <w:rsid w:val="00094ABF"/>
    <w:rsid w:val="000A3C8B"/>
    <w:rsid w:val="000C632C"/>
    <w:rsid w:val="000C6C78"/>
    <w:rsid w:val="000E462A"/>
    <w:rsid w:val="000F177E"/>
    <w:rsid w:val="000F7012"/>
    <w:rsid w:val="001257E6"/>
    <w:rsid w:val="00135FC2"/>
    <w:rsid w:val="0014779B"/>
    <w:rsid w:val="00156D4D"/>
    <w:rsid w:val="0019357F"/>
    <w:rsid w:val="00195597"/>
    <w:rsid w:val="001D59E3"/>
    <w:rsid w:val="001D6936"/>
    <w:rsid w:val="001F19DE"/>
    <w:rsid w:val="001F2887"/>
    <w:rsid w:val="001F3F89"/>
    <w:rsid w:val="00210AE7"/>
    <w:rsid w:val="00213DF9"/>
    <w:rsid w:val="00222EF1"/>
    <w:rsid w:val="002431FD"/>
    <w:rsid w:val="002714B5"/>
    <w:rsid w:val="002C0628"/>
    <w:rsid w:val="002C59D4"/>
    <w:rsid w:val="002C71CB"/>
    <w:rsid w:val="002D63BC"/>
    <w:rsid w:val="002E31B2"/>
    <w:rsid w:val="002F056B"/>
    <w:rsid w:val="00300EB2"/>
    <w:rsid w:val="00314CBA"/>
    <w:rsid w:val="003168A5"/>
    <w:rsid w:val="0034679E"/>
    <w:rsid w:val="003563D8"/>
    <w:rsid w:val="0035759A"/>
    <w:rsid w:val="00362114"/>
    <w:rsid w:val="00371A76"/>
    <w:rsid w:val="00381988"/>
    <w:rsid w:val="00382BCD"/>
    <w:rsid w:val="003B0E36"/>
    <w:rsid w:val="003C28EA"/>
    <w:rsid w:val="003C6240"/>
    <w:rsid w:val="003E3BF4"/>
    <w:rsid w:val="003F225A"/>
    <w:rsid w:val="003F654F"/>
    <w:rsid w:val="00414F6B"/>
    <w:rsid w:val="004301D6"/>
    <w:rsid w:val="00440878"/>
    <w:rsid w:val="004471AC"/>
    <w:rsid w:val="004637EA"/>
    <w:rsid w:val="00487408"/>
    <w:rsid w:val="004C24A6"/>
    <w:rsid w:val="004E3986"/>
    <w:rsid w:val="004F0356"/>
    <w:rsid w:val="004F4418"/>
    <w:rsid w:val="005023AA"/>
    <w:rsid w:val="005062B3"/>
    <w:rsid w:val="00553A7E"/>
    <w:rsid w:val="00553F22"/>
    <w:rsid w:val="00556B3B"/>
    <w:rsid w:val="0056000C"/>
    <w:rsid w:val="005870F1"/>
    <w:rsid w:val="005A21E4"/>
    <w:rsid w:val="005B2262"/>
    <w:rsid w:val="005B4DEB"/>
    <w:rsid w:val="005C09ED"/>
    <w:rsid w:val="005C5CCF"/>
    <w:rsid w:val="005F1D7F"/>
    <w:rsid w:val="00603BD4"/>
    <w:rsid w:val="0061288E"/>
    <w:rsid w:val="00615840"/>
    <w:rsid w:val="00634F84"/>
    <w:rsid w:val="00635C52"/>
    <w:rsid w:val="00635D0D"/>
    <w:rsid w:val="00651131"/>
    <w:rsid w:val="00652F2F"/>
    <w:rsid w:val="00666738"/>
    <w:rsid w:val="00676D3D"/>
    <w:rsid w:val="00686C62"/>
    <w:rsid w:val="006939AF"/>
    <w:rsid w:val="006A621D"/>
    <w:rsid w:val="006C5ABC"/>
    <w:rsid w:val="006C67E9"/>
    <w:rsid w:val="006C7EC2"/>
    <w:rsid w:val="00702C47"/>
    <w:rsid w:val="00705433"/>
    <w:rsid w:val="0071329B"/>
    <w:rsid w:val="00725ED6"/>
    <w:rsid w:val="0073073B"/>
    <w:rsid w:val="00750BD0"/>
    <w:rsid w:val="00760273"/>
    <w:rsid w:val="0077475A"/>
    <w:rsid w:val="00777876"/>
    <w:rsid w:val="0078571B"/>
    <w:rsid w:val="00787F4E"/>
    <w:rsid w:val="007A333E"/>
    <w:rsid w:val="007B75D5"/>
    <w:rsid w:val="007C15B4"/>
    <w:rsid w:val="007E0A76"/>
    <w:rsid w:val="00804E83"/>
    <w:rsid w:val="00811182"/>
    <w:rsid w:val="008128FC"/>
    <w:rsid w:val="00830CC5"/>
    <w:rsid w:val="00831C78"/>
    <w:rsid w:val="0084743B"/>
    <w:rsid w:val="00871B21"/>
    <w:rsid w:val="00873E14"/>
    <w:rsid w:val="0088494D"/>
    <w:rsid w:val="008A6887"/>
    <w:rsid w:val="008B1F74"/>
    <w:rsid w:val="008C0636"/>
    <w:rsid w:val="008C6FE3"/>
    <w:rsid w:val="008D2B78"/>
    <w:rsid w:val="008D6F4F"/>
    <w:rsid w:val="008E0DFB"/>
    <w:rsid w:val="00912D81"/>
    <w:rsid w:val="009239D9"/>
    <w:rsid w:val="009314C4"/>
    <w:rsid w:val="00940775"/>
    <w:rsid w:val="009416B7"/>
    <w:rsid w:val="00947431"/>
    <w:rsid w:val="00951FCB"/>
    <w:rsid w:val="00972E9B"/>
    <w:rsid w:val="00977CFA"/>
    <w:rsid w:val="00995B77"/>
    <w:rsid w:val="009B257F"/>
    <w:rsid w:val="009D17B9"/>
    <w:rsid w:val="009F7C7B"/>
    <w:rsid w:val="00A03E70"/>
    <w:rsid w:val="00A05DE9"/>
    <w:rsid w:val="00A10145"/>
    <w:rsid w:val="00A559E9"/>
    <w:rsid w:val="00A55CE0"/>
    <w:rsid w:val="00AA7175"/>
    <w:rsid w:val="00AB2548"/>
    <w:rsid w:val="00AC1906"/>
    <w:rsid w:val="00AC4753"/>
    <w:rsid w:val="00AD32AE"/>
    <w:rsid w:val="00AD4AF5"/>
    <w:rsid w:val="00AF1E36"/>
    <w:rsid w:val="00B1318F"/>
    <w:rsid w:val="00B33244"/>
    <w:rsid w:val="00B43BA0"/>
    <w:rsid w:val="00B4658B"/>
    <w:rsid w:val="00B67AA8"/>
    <w:rsid w:val="00B73C08"/>
    <w:rsid w:val="00B80348"/>
    <w:rsid w:val="00B8385E"/>
    <w:rsid w:val="00BC38C3"/>
    <w:rsid w:val="00BC52B6"/>
    <w:rsid w:val="00BF12BC"/>
    <w:rsid w:val="00C23000"/>
    <w:rsid w:val="00C35B48"/>
    <w:rsid w:val="00C8198A"/>
    <w:rsid w:val="00C87AFB"/>
    <w:rsid w:val="00C92A68"/>
    <w:rsid w:val="00C93854"/>
    <w:rsid w:val="00CA4223"/>
    <w:rsid w:val="00CC2403"/>
    <w:rsid w:val="00CF3964"/>
    <w:rsid w:val="00D11AFB"/>
    <w:rsid w:val="00D150DF"/>
    <w:rsid w:val="00D17138"/>
    <w:rsid w:val="00D240CA"/>
    <w:rsid w:val="00D25512"/>
    <w:rsid w:val="00DA2035"/>
    <w:rsid w:val="00DC61E1"/>
    <w:rsid w:val="00DD0A3C"/>
    <w:rsid w:val="00DE301A"/>
    <w:rsid w:val="00DE4725"/>
    <w:rsid w:val="00DE6DB6"/>
    <w:rsid w:val="00E06704"/>
    <w:rsid w:val="00E07F0C"/>
    <w:rsid w:val="00E23CCC"/>
    <w:rsid w:val="00E470D2"/>
    <w:rsid w:val="00E6292D"/>
    <w:rsid w:val="00E63BF0"/>
    <w:rsid w:val="00E63D3B"/>
    <w:rsid w:val="00E95937"/>
    <w:rsid w:val="00EA5F33"/>
    <w:rsid w:val="00ED62A9"/>
    <w:rsid w:val="00EF1534"/>
    <w:rsid w:val="00F02632"/>
    <w:rsid w:val="00F1404C"/>
    <w:rsid w:val="00F22227"/>
    <w:rsid w:val="00F263D3"/>
    <w:rsid w:val="00F56B26"/>
    <w:rsid w:val="00F65FA2"/>
    <w:rsid w:val="00FA5C7E"/>
    <w:rsid w:val="00FB07A2"/>
    <w:rsid w:val="00FB2B6D"/>
    <w:rsid w:val="00FB54B0"/>
    <w:rsid w:val="00FD3BCD"/>
    <w:rsid w:val="00FE2FCA"/>
    <w:rsid w:val="00FE643B"/>
    <w:rsid w:val="00FF3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19C9D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4E3986"/>
    <w:pPr>
      <w:ind w:left="240"/>
    </w:pPr>
    <w:rPr>
      <w:bCs/>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semiHidden/>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4E3986"/>
    <w:pPr>
      <w:ind w:left="240"/>
    </w:pPr>
    <w:rPr>
      <w:bCs/>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semiHidden/>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ccc.org/sites/default/files/DelRolesRespon09.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oingwhatmatters.cccco.edu/portals/6/docs/sw/Redesigning%20CC%20for%20Student%20Success%20Jenkins%20August%202014.pdf" TargetMode="External"/><Relationship Id="rId13" Type="http://schemas.openxmlformats.org/officeDocument/2006/relationships/hyperlink" Target="https://www.dir.ca.gov/das/DASMeetings.html" TargetMode="External"/><Relationship Id="rId3" Type="http://schemas.openxmlformats.org/officeDocument/2006/relationships/hyperlink" Target="http://extranet.cccco.edu/Divisions/StudentServices/VETS.aspx" TargetMode="External"/><Relationship Id="rId7" Type="http://schemas.openxmlformats.org/officeDocument/2006/relationships/hyperlink" Target="https://www2.calstate.edu/csu-system/news/Pages/Meet-the-Meta-Major.aspx" TargetMode="External"/><Relationship Id="rId12" Type="http://schemas.openxmlformats.org/officeDocument/2006/relationships/hyperlink" Target="http://asccc.org/apprenticeship-minimum-qualifications" TargetMode="External"/><Relationship Id="rId2" Type="http://schemas.openxmlformats.org/officeDocument/2006/relationships/hyperlink" Target="http://extranet.cccco.edu/HBCUTransfer.aspx" TargetMode="External"/><Relationship Id="rId1" Type="http://schemas.openxmlformats.org/officeDocument/2006/relationships/hyperlink" Target="https://edsource.org/2017/california-colleges-undaunted-by-trumps-threat-to-end-daca/586746" TargetMode="External"/><Relationship Id="rId6" Type="http://schemas.openxmlformats.org/officeDocument/2006/relationships/hyperlink" Target="https://govt.westlaw.com/calregs/Browse/Home/California/CaliforniaCodeofRegulations?guid=IA71E3580D48411DEBC02831C6D6C108E&amp;originationContext=documenttoc&amp;transitionType=Default&amp;contextData=(sc.Default)" TargetMode="External"/><Relationship Id="rId11" Type="http://schemas.openxmlformats.org/officeDocument/2006/relationships/hyperlink" Target="http://www.mtsac.edu/instruction/guided_pathways_of_study.html" TargetMode="External"/><Relationship Id="rId5" Type="http://schemas.openxmlformats.org/officeDocument/2006/relationships/hyperlink" Target="https://govt.westlaw.com/calregs/Browse/Home/California/CaliforniaCodeofRegulations?guid=IAFF40F80D48511DEBC02831C6D6C108E&amp;originationContext=documenttoc&amp;transitionType=Default&amp;contextData=(sc.Default)" TargetMode="External"/><Relationship Id="rId10" Type="http://schemas.openxmlformats.org/officeDocument/2006/relationships/hyperlink" Target="http://valenciacollege.edu/academic-affairs/new-student-experience/meta-majors.cfm" TargetMode="External"/><Relationship Id="rId4" Type="http://schemas.openxmlformats.org/officeDocument/2006/relationships/hyperlink" Target="https://sdce.edu/sites/default/files/iep/The_Past_Present_and_Future_of_Noncredit_in_CA.pdf" TargetMode="External"/><Relationship Id="rId9" Type="http://schemas.openxmlformats.org/officeDocument/2006/relationships/hyperlink" Target="http://www.jff.org/publications/meta-majors-essential-first-step-path-college-completion" TargetMode="External"/><Relationship Id="rId14" Type="http://schemas.openxmlformats.org/officeDocument/2006/relationships/hyperlink" Target="http://asccc.org/apprenticeship-minimum-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B426A2-496A-48D2-9F21-E400D43C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5373</Words>
  <Characters>30630</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May</dc:creator>
  <cp:lastModifiedBy>AutoBVT</cp:lastModifiedBy>
  <cp:revision>2</cp:revision>
  <cp:lastPrinted>2017-10-03T22:09:00Z</cp:lastPrinted>
  <dcterms:created xsi:type="dcterms:W3CDTF">2017-10-11T21:12:00Z</dcterms:created>
  <dcterms:modified xsi:type="dcterms:W3CDTF">2017-10-11T21:12:00Z</dcterms:modified>
</cp:coreProperties>
</file>