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E20" w:rsidRDefault="00FE5E20" w:rsidP="00FE5E20">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hyperlink r:id="rId5" w:history="1">
        <w:r>
          <w:rPr>
            <w:rStyle w:val="Hyperlink"/>
            <w:rFonts w:ascii="Tahoma" w:hAnsi="Tahoma" w:cs="Tahoma"/>
            <w:sz w:val="20"/>
            <w:szCs w:val="20"/>
          </w:rPr>
          <w:t>support@accjc.org</w:t>
        </w:r>
      </w:hyperlink>
      <w:r>
        <w:rPr>
          <w:rFonts w:ascii="Tahoma" w:hAnsi="Tahoma" w:cs="Tahoma"/>
          <w:sz w:val="20"/>
          <w:szCs w:val="20"/>
        </w:rPr>
        <w:t xml:space="preserve"> [</w:t>
      </w:r>
      <w:hyperlink r:id="rId6" w:history="1">
        <w:r>
          <w:rPr>
            <w:rStyle w:val="Hyperlink"/>
            <w:rFonts w:ascii="Tahoma" w:hAnsi="Tahoma" w:cs="Tahoma"/>
            <w:sz w:val="20"/>
            <w:szCs w:val="20"/>
          </w:rPr>
          <w:t>mailto:support@accjc.org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March 30, 2016 2:49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Steve Kinsella</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Kathleen Rose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ACCJC - 2016 Annual Report Submission</w:t>
      </w:r>
    </w:p>
    <w:p w:rsidR="00FE5E20" w:rsidRDefault="00FE5E20" w:rsidP="00FE5E20"/>
    <w:p w:rsidR="00FE5E20" w:rsidRDefault="00FE5E20" w:rsidP="00FE5E20">
      <w:pPr>
        <w:rPr>
          <w:rFonts w:ascii="Verdana" w:hAnsi="Verdana"/>
          <w:color w:val="444444"/>
          <w:sz w:val="18"/>
          <w:szCs w:val="18"/>
        </w:rPr>
      </w:pPr>
      <w:r>
        <w:rPr>
          <w:rFonts w:ascii="Verdana" w:hAnsi="Verdana"/>
          <w:color w:val="444444"/>
          <w:sz w:val="18"/>
          <w:szCs w:val="18"/>
        </w:rPr>
        <w:t>This confirms that your 2016 Annual Report to ACCJC was submitted by Dr. Steven Kinsella &lt;</w:t>
      </w:r>
      <w:hyperlink r:id="rId7" w:history="1">
        <w:r>
          <w:rPr>
            <w:rStyle w:val="Hyperlink"/>
            <w:rFonts w:ascii="Verdana" w:hAnsi="Verdana"/>
            <w:sz w:val="18"/>
            <w:szCs w:val="18"/>
          </w:rPr>
          <w:t>skinsella@gavilan.edu</w:t>
        </w:r>
      </w:hyperlink>
      <w:r>
        <w:rPr>
          <w:rFonts w:ascii="Verdana" w:hAnsi="Verdana"/>
          <w:color w:val="444444"/>
          <w:sz w:val="18"/>
          <w:szCs w:val="18"/>
        </w:rPr>
        <w:t>&gt; on 03/30/2016.</w:t>
      </w:r>
      <w:r>
        <w:rPr>
          <w:rFonts w:ascii="Verdana" w:hAnsi="Verdana"/>
          <w:color w:val="444444"/>
          <w:sz w:val="18"/>
          <w:szCs w:val="18"/>
        </w:rPr>
        <w:br/>
        <w:t xml:space="preserve">Below is a copy of the information </w:t>
      </w:r>
      <w:proofErr w:type="gramStart"/>
      <w:r>
        <w:rPr>
          <w:rFonts w:ascii="Verdana" w:hAnsi="Verdana"/>
          <w:color w:val="444444"/>
          <w:sz w:val="18"/>
          <w:szCs w:val="18"/>
        </w:rPr>
        <w:t>submitted.</w:t>
      </w:r>
      <w:proofErr w:type="gramEnd"/>
      <w:r>
        <w:rPr>
          <w:rFonts w:ascii="Verdana" w:hAnsi="Verdana"/>
          <w:color w:val="444444"/>
          <w:sz w:val="18"/>
          <w:szCs w:val="18"/>
        </w:rPr>
        <w:t xml:space="preserve">  You may also re-print the report by logging on at </w:t>
      </w:r>
      <w:hyperlink r:id="rId8" w:history="1">
        <w:r>
          <w:rPr>
            <w:rStyle w:val="Hyperlink"/>
            <w:rFonts w:ascii="Verdana" w:hAnsi="Verdana"/>
            <w:sz w:val="18"/>
            <w:szCs w:val="18"/>
          </w:rPr>
          <w:t>https://www.accjc.org/annualreport</w:t>
        </w:r>
      </w:hyperlink>
      <w:r>
        <w:rPr>
          <w:rFonts w:ascii="Verdana" w:hAnsi="Verdana"/>
          <w:color w:val="444444"/>
          <w:sz w:val="18"/>
          <w:szCs w:val="18"/>
        </w:rPr>
        <w:t>.</w:t>
      </w:r>
    </w:p>
    <w:tbl>
      <w:tblPr>
        <w:tblpPr w:leftFromText="45" w:rightFromText="45" w:vertAnchor="text"/>
        <w:tblW w:w="10500" w:type="dxa"/>
        <w:tblCellSpacing w:w="0" w:type="dxa"/>
        <w:tblCellMar>
          <w:left w:w="0" w:type="dxa"/>
          <w:right w:w="0" w:type="dxa"/>
        </w:tblCellMar>
        <w:tblLook w:val="04A0" w:firstRow="1" w:lastRow="0" w:firstColumn="1" w:lastColumn="0" w:noHBand="0" w:noVBand="1"/>
      </w:tblPr>
      <w:tblGrid>
        <w:gridCol w:w="10500"/>
      </w:tblGrid>
      <w:tr w:rsidR="00FE5E20" w:rsidTr="00FE5E20">
        <w:trPr>
          <w:tblCellSpacing w:w="0" w:type="dxa"/>
        </w:trPr>
        <w:tc>
          <w:tcPr>
            <w:tcW w:w="0" w:type="auto"/>
            <w:shd w:val="clear" w:color="auto" w:fill="003085"/>
            <w:vAlign w:val="center"/>
            <w:hideMark/>
          </w:tcPr>
          <w:p w:rsidR="00FE5E20" w:rsidRDefault="00FE5E20">
            <w:pPr>
              <w:jc w:val="center"/>
              <w:rPr>
                <w:rFonts w:ascii="Verdana" w:hAnsi="Verdana"/>
                <w:color w:val="444444"/>
                <w:sz w:val="18"/>
                <w:szCs w:val="18"/>
              </w:rPr>
            </w:pPr>
            <w:r>
              <w:rPr>
                <w:rFonts w:ascii="Verdana" w:hAnsi="Verdana"/>
                <w:noProof/>
                <w:color w:val="444444"/>
                <w:sz w:val="18"/>
                <w:szCs w:val="18"/>
              </w:rPr>
              <w:drawing>
                <wp:inline distT="0" distB="0" distL="0" distR="0">
                  <wp:extent cx="6543675" cy="561975"/>
                  <wp:effectExtent l="0" t="0" r="9525" b="9525"/>
                  <wp:docPr id="1" name="Picture 1" descr="http://www.accjc.org/commo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cjc.org/common/image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3675" cy="561975"/>
                          </a:xfrm>
                          <a:prstGeom prst="rect">
                            <a:avLst/>
                          </a:prstGeom>
                          <a:noFill/>
                          <a:ln>
                            <a:noFill/>
                          </a:ln>
                        </pic:spPr>
                      </pic:pic>
                    </a:graphicData>
                  </a:graphic>
                </wp:inline>
              </w:drawing>
            </w:r>
          </w:p>
        </w:tc>
      </w:tr>
      <w:tr w:rsidR="00FE5E20" w:rsidTr="00FE5E20">
        <w:trPr>
          <w:trHeight w:val="300"/>
          <w:tblCellSpacing w:w="0" w:type="dxa"/>
        </w:trPr>
        <w:tc>
          <w:tcPr>
            <w:tcW w:w="0" w:type="auto"/>
            <w:vAlign w:val="center"/>
            <w:hideMark/>
          </w:tcPr>
          <w:p w:rsidR="00FE5E20" w:rsidRDefault="00FE5E20">
            <w:pPr>
              <w:rPr>
                <w:rFonts w:ascii="Verdana" w:hAnsi="Verdana"/>
                <w:color w:val="444444"/>
                <w:sz w:val="18"/>
                <w:szCs w:val="18"/>
              </w:rPr>
            </w:pPr>
            <w:r>
              <w:rPr>
                <w:rFonts w:ascii="Verdana" w:hAnsi="Verdana"/>
                <w:color w:val="444444"/>
                <w:sz w:val="18"/>
                <w:szCs w:val="18"/>
              </w:rPr>
              <w:t> </w:t>
            </w:r>
          </w:p>
        </w:tc>
      </w:tr>
      <w:tr w:rsidR="00FE5E20" w:rsidTr="00FE5E20">
        <w:trPr>
          <w:trHeight w:val="750"/>
          <w:tblCellSpacing w:w="0" w:type="dxa"/>
        </w:trPr>
        <w:tc>
          <w:tcPr>
            <w:tcW w:w="0" w:type="auto"/>
            <w:vAlign w:val="center"/>
            <w:hideMark/>
          </w:tcPr>
          <w:p w:rsidR="00FE5E20" w:rsidRDefault="00FE5E20">
            <w:pPr>
              <w:jc w:val="center"/>
              <w:rPr>
                <w:rFonts w:ascii="Verdana" w:hAnsi="Verdana"/>
                <w:color w:val="444444"/>
                <w:sz w:val="18"/>
                <w:szCs w:val="18"/>
              </w:rPr>
            </w:pPr>
            <w:r>
              <w:rPr>
                <w:rStyle w:val="Strong"/>
                <w:rFonts w:ascii="Verdana" w:hAnsi="Verdana"/>
                <w:color w:val="012F85"/>
                <w:sz w:val="20"/>
                <w:szCs w:val="20"/>
              </w:rPr>
              <w:t>2016 Annual Report</w:t>
            </w:r>
            <w:r>
              <w:rPr>
                <w:rFonts w:ascii="Verdana" w:hAnsi="Verdana"/>
                <w:color w:val="444444"/>
                <w:sz w:val="18"/>
                <w:szCs w:val="18"/>
              </w:rPr>
              <w:br/>
            </w:r>
            <w:r>
              <w:rPr>
                <w:rStyle w:val="Strong"/>
                <w:rFonts w:ascii="Verdana" w:hAnsi="Verdana"/>
                <w:color w:val="444444"/>
                <w:sz w:val="20"/>
                <w:szCs w:val="20"/>
              </w:rPr>
              <w:t>Final Submission</w:t>
            </w:r>
            <w:r>
              <w:rPr>
                <w:rFonts w:ascii="Verdana" w:hAnsi="Verdana"/>
                <w:color w:val="444444"/>
                <w:sz w:val="18"/>
                <w:szCs w:val="18"/>
              </w:rPr>
              <w:br/>
              <w:t>03/30/2016</w:t>
            </w:r>
          </w:p>
        </w:tc>
      </w:tr>
      <w:tr w:rsidR="00FE5E20" w:rsidTr="00FE5E20">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0494"/>
              <w:gridCol w:w="6"/>
            </w:tblGrid>
            <w:tr w:rsidR="00FE5E20">
              <w:trPr>
                <w:trHeight w:val="75"/>
                <w:tblCellSpacing w:w="0" w:type="dxa"/>
                <w:jc w:val="center"/>
              </w:trPr>
              <w:tc>
                <w:tcPr>
                  <w:tcW w:w="0" w:type="auto"/>
                  <w:gridSpan w:val="2"/>
                  <w:vAlign w:val="center"/>
                  <w:hideMark/>
                </w:tcPr>
                <w:p w:rsidR="00FE5E20" w:rsidRDefault="00FE5E20">
                  <w:pPr>
                    <w:framePr w:hSpace="45" w:wrap="around" w:vAnchor="text" w:hAnchor="text"/>
                    <w:spacing w:line="75" w:lineRule="atLeast"/>
                    <w:rPr>
                      <w:rFonts w:ascii="Verdana" w:hAnsi="Verdana"/>
                      <w:color w:val="444444"/>
                      <w:sz w:val="18"/>
                      <w:szCs w:val="18"/>
                    </w:rPr>
                  </w:pPr>
                  <w:r>
                    <w:rPr>
                      <w:rFonts w:ascii="Verdana" w:hAnsi="Verdana"/>
                      <w:color w:val="444444"/>
                      <w:sz w:val="18"/>
                      <w:szCs w:val="18"/>
                    </w:rPr>
                    <w:t> </w:t>
                  </w:r>
                </w:p>
              </w:tc>
            </w:tr>
            <w:tr w:rsidR="00FE5E20">
              <w:trPr>
                <w:tblCellSpacing w:w="0" w:type="dxa"/>
                <w:jc w:val="center"/>
              </w:trPr>
              <w:tc>
                <w:tcPr>
                  <w:tcW w:w="0" w:type="auto"/>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Gavilan College</w:t>
                  </w:r>
                </w:p>
              </w:tc>
              <w:tc>
                <w:tcPr>
                  <w:tcW w:w="0" w:type="auto"/>
                  <w:vAlign w:val="center"/>
                  <w:hideMark/>
                </w:tcPr>
                <w:p w:rsidR="00FE5E20" w:rsidRDefault="00FE5E20">
                  <w:pPr>
                    <w:rPr>
                      <w:rFonts w:eastAsia="Times New Roman"/>
                      <w:sz w:val="20"/>
                      <w:szCs w:val="20"/>
                    </w:rPr>
                  </w:pPr>
                </w:p>
              </w:tc>
            </w:tr>
            <w:tr w:rsidR="00FE5E20">
              <w:trPr>
                <w:tblCellSpacing w:w="0" w:type="dxa"/>
                <w:jc w:val="center"/>
              </w:trPr>
              <w:tc>
                <w:tcPr>
                  <w:tcW w:w="0" w:type="auto"/>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5055 Santa Teresa Boulevard</w:t>
                  </w:r>
                </w:p>
              </w:tc>
              <w:tc>
                <w:tcPr>
                  <w:tcW w:w="0" w:type="auto"/>
                  <w:vAlign w:val="center"/>
                  <w:hideMark/>
                </w:tcPr>
                <w:p w:rsidR="00FE5E20" w:rsidRDefault="00FE5E20">
                  <w:pPr>
                    <w:rPr>
                      <w:rFonts w:eastAsia="Times New Roman"/>
                      <w:sz w:val="20"/>
                      <w:szCs w:val="20"/>
                    </w:rPr>
                  </w:pPr>
                </w:p>
              </w:tc>
            </w:tr>
            <w:tr w:rsidR="00FE5E20">
              <w:trPr>
                <w:tblCellSpacing w:w="0" w:type="dxa"/>
                <w:jc w:val="center"/>
              </w:trPr>
              <w:tc>
                <w:tcPr>
                  <w:tcW w:w="0" w:type="auto"/>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Gilroy, CA 95020</w:t>
                  </w:r>
                </w:p>
              </w:tc>
              <w:tc>
                <w:tcPr>
                  <w:tcW w:w="0" w:type="auto"/>
                  <w:vAlign w:val="center"/>
                  <w:hideMark/>
                </w:tcPr>
                <w:p w:rsidR="00FE5E20" w:rsidRDefault="00FE5E20">
                  <w:pPr>
                    <w:rPr>
                      <w:rFonts w:eastAsia="Times New Roman"/>
                      <w:sz w:val="20"/>
                      <w:szCs w:val="20"/>
                    </w:rPr>
                  </w:pPr>
                </w:p>
              </w:tc>
            </w:tr>
            <w:tr w:rsidR="00FE5E20">
              <w:trPr>
                <w:trHeight w:val="150"/>
                <w:tblCellSpacing w:w="0" w:type="dxa"/>
                <w:jc w:val="center"/>
              </w:trPr>
              <w:tc>
                <w:tcPr>
                  <w:tcW w:w="0" w:type="auto"/>
                  <w:gridSpan w:val="2"/>
                  <w:vAlign w:val="center"/>
                  <w:hideMark/>
                </w:tcPr>
                <w:p w:rsidR="00FE5E20" w:rsidRDefault="00FE5E20">
                  <w:pPr>
                    <w:framePr w:hSpace="45" w:wrap="around" w:vAnchor="text" w:hAnchor="text"/>
                    <w:spacing w:line="150" w:lineRule="atLeast"/>
                    <w:rPr>
                      <w:rFonts w:ascii="Verdana" w:hAnsi="Verdana"/>
                      <w:color w:val="444444"/>
                      <w:sz w:val="18"/>
                      <w:szCs w:val="18"/>
                    </w:rPr>
                  </w:pPr>
                  <w:r>
                    <w:rPr>
                      <w:rFonts w:ascii="Verdana" w:hAnsi="Verdana"/>
                      <w:color w:val="444444"/>
                      <w:sz w:val="18"/>
                      <w:szCs w:val="18"/>
                    </w:rPr>
                    <w:t> </w:t>
                  </w:r>
                </w:p>
              </w:tc>
            </w:tr>
            <w:tr w:rsidR="00FE5E20">
              <w:trPr>
                <w:tblCellSpacing w:w="0" w:type="dxa"/>
                <w:jc w:val="center"/>
              </w:trPr>
              <w:tc>
                <w:tcPr>
                  <w:tcW w:w="0" w:type="auto"/>
                  <w:vAlign w:val="center"/>
                  <w:hideMark/>
                </w:tcPr>
                <w:tbl>
                  <w:tblPr>
                    <w:tblW w:w="4500" w:type="pct"/>
                    <w:jc w:val="center"/>
                    <w:tblCellSpacing w:w="15" w:type="dxa"/>
                    <w:tblCellMar>
                      <w:left w:w="0" w:type="dxa"/>
                      <w:right w:w="0" w:type="dxa"/>
                    </w:tblCellMar>
                    <w:tblLook w:val="04A0" w:firstRow="1" w:lastRow="0" w:firstColumn="1" w:lastColumn="0" w:noHBand="0" w:noVBand="1"/>
                  </w:tblPr>
                  <w:tblGrid>
                    <w:gridCol w:w="9799"/>
                  </w:tblGrid>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444444"/>
                            <w:sz w:val="18"/>
                            <w:szCs w:val="18"/>
                          </w:rPr>
                          <w:t>General Information</w:t>
                        </w:r>
                      </w:p>
                    </w:tc>
                  </w:tr>
                  <w:tr w:rsidR="00FE5E20">
                    <w:trPr>
                      <w:tblCellSpacing w:w="15" w:type="dxa"/>
                      <w:jc w:val="center"/>
                    </w:trPr>
                    <w:tc>
                      <w:tcPr>
                        <w:tcW w:w="0" w:type="auto"/>
                        <w:tcMar>
                          <w:top w:w="75" w:type="dxa"/>
                          <w:left w:w="75" w:type="dxa"/>
                          <w:bottom w:w="75" w:type="dxa"/>
                          <w:right w:w="75" w:type="dxa"/>
                        </w:tcMar>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4868"/>
                          <w:gridCol w:w="4185"/>
                        </w:tblGrid>
                        <w:tr w:rsidR="00FE5E20">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Answer</w:t>
                              </w:r>
                            </w:p>
                          </w:tc>
                        </w:tr>
                        <w:tr w:rsidR="00FE5E20">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Confirm logged into the correct institution's report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Confirmed</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Name of individual preparing report:</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Kathleen Rose, Executive VP</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Phone number of person preparing report:</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408-848-4711</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E-mail of person preparing report:</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hyperlink r:id="rId10" w:history="1">
                                <w:r>
                                  <w:rPr>
                                    <w:rStyle w:val="Hyperlink"/>
                                    <w:rFonts w:ascii="Verdana" w:hAnsi="Verdana"/>
                                    <w:sz w:val="18"/>
                                    <w:szCs w:val="18"/>
                                  </w:rPr>
                                  <w:t>krose@gavilan.edu</w:t>
                                </w:r>
                              </w:hyperlink>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5a.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Provide the URL (link) from the college website to the section of the college catalog which states the accredited status with ACCJC:</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hyperlink r:id="rId11" w:history="1">
                                <w:r>
                                  <w:rPr>
                                    <w:rStyle w:val="Hyperlink"/>
                                    <w:rFonts w:ascii="Verdana" w:hAnsi="Verdana"/>
                                    <w:sz w:val="18"/>
                                    <w:szCs w:val="18"/>
                                  </w:rPr>
                                  <w:t>http://www.gavilan.edu/catalog/2015-2017/pdf/GavilanCatalog_CollegeProfile.pdf</w:t>
                                </w:r>
                              </w:hyperlink>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5b.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Provide the URL (link) from the college website to the colleges online statement of accredited status with ACCJC:</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hyperlink r:id="rId12" w:history="1">
                                <w:r>
                                  <w:rPr>
                                    <w:rStyle w:val="Hyperlink"/>
                                    <w:rFonts w:ascii="Verdana" w:hAnsi="Verdana"/>
                                    <w:sz w:val="18"/>
                                    <w:szCs w:val="18"/>
                                  </w:rPr>
                                  <w:t>http://www.gavilan.edu/profile.html</w:t>
                                </w:r>
                              </w:hyperlink>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6.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unduplicated headcount enrollment:</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989"/>
                                <w:gridCol w:w="599"/>
                              </w:tblGrid>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2015: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7,215</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2014: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6,293</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2013: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6,673</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7.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unduplicated headcount enrollment in degree applicable credit courses for fall 2015:</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5,395</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8.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Headcount enrollment in pre-collegiate credit courses (which do not count toward degree requirements) for fall 2015:</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2,120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 xml:space="preserve">9.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courses offered via distance education:</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989"/>
                                <w:gridCol w:w="304"/>
                              </w:tblGrid>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2015: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80</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2014: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85</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2013: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79</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10.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programs which may be completed via distance education:</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11.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unduplicated headcount enrollment in all types of Distance Education:</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989"/>
                                <w:gridCol w:w="599"/>
                              </w:tblGrid>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2015: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3,857</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2014: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3,786</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2013: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3,023</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12.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unduplicated headcount enrollment in all types of Correspondence Education:</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989"/>
                                <w:gridCol w:w="190"/>
                              </w:tblGrid>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2015: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2014: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Fall 2013: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13.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Were all correspondence courses for which students enrolled in fall 2015 part of a program which leads to an associate degree?</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n/a</w:t>
                              </w:r>
                            </w:p>
                          </w:tc>
                        </w:tr>
                      </w:tbl>
                      <w:p w:rsidR="00FE5E20" w:rsidRDefault="00FE5E20">
                        <w:pPr>
                          <w:rPr>
                            <w:rFonts w:eastAsia="Times New Roman"/>
                            <w:sz w:val="20"/>
                            <w:szCs w:val="20"/>
                          </w:rPr>
                        </w:pPr>
                      </w:p>
                    </w:tc>
                  </w:tr>
                  <w:tr w:rsidR="00FE5E20">
                    <w:trPr>
                      <w:trHeight w:val="75"/>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spacing w:line="75" w:lineRule="atLeast"/>
                          <w:rPr>
                            <w:rFonts w:ascii="Verdana" w:hAnsi="Verdana"/>
                            <w:color w:val="444444"/>
                            <w:sz w:val="18"/>
                            <w:szCs w:val="18"/>
                          </w:rPr>
                        </w:pPr>
                        <w:r>
                          <w:rPr>
                            <w:rFonts w:ascii="Verdana" w:hAnsi="Verdana"/>
                            <w:color w:val="444444"/>
                            <w:sz w:val="18"/>
                            <w:szCs w:val="18"/>
                          </w:rPr>
                          <w:lastRenderedPageBreak/>
                          <w:t> </w:t>
                        </w:r>
                      </w:p>
                    </w:tc>
                  </w:tr>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444444"/>
                            <w:sz w:val="18"/>
                            <w:szCs w:val="18"/>
                          </w:rPr>
                          <w:t>Student Achievement Data</w:t>
                        </w:r>
                      </w:p>
                    </w:tc>
                  </w:tr>
                  <w:tr w:rsidR="00FE5E20">
                    <w:trPr>
                      <w:tblCellSpacing w:w="15" w:type="dxa"/>
                      <w:jc w:val="center"/>
                    </w:trPr>
                    <w:tc>
                      <w:tcPr>
                        <w:tcW w:w="0" w:type="auto"/>
                        <w:tcMar>
                          <w:top w:w="75" w:type="dxa"/>
                          <w:left w:w="75" w:type="dxa"/>
                          <w:bottom w:w="75" w:type="dxa"/>
                          <w:right w:w="75" w:type="dxa"/>
                        </w:tcMar>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5730"/>
                          <w:gridCol w:w="3211"/>
                        </w:tblGrid>
                        <w:tr w:rsidR="00FE5E20">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Answer</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14a.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What is your Institution-set standard for successful student course completion?</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72%</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14b.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Successful student course completion rate for the fall 2015 semester:</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71%</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15.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Institution Set Standards for program completion: While institutions may determine the measures for which they will set standards, most institutions will utilize this measure as it is core to their mission. For purposes of definition, certificates include those certificate programs which qualify for financial aid, principally those which lead to gainful employment. Completion of degrees and certificates is to be presented in terms of total numbers. Each student who receives one or more certificates or degrees in the specified year may be counted once.</w:t>
                              </w:r>
                            </w:p>
                            <w:tbl>
                              <w:tblPr>
                                <w:tblW w:w="87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7123"/>
                                <w:gridCol w:w="1232"/>
                              </w:tblGrid>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a.</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If you have an institution-set standard for student completion of degrees and certificates combined, per year, what is it?</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844</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b.</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If you have separate institution-set standards for degrees, what is your institution-set standard for the number of student completion of degrees, per year?</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440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If you have separate institution-set standards for certificates, what is your institution-set standard for the number of student completion of certificates, per year?</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404</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16a.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students (unduplicated) who received a certificate or degree in the 2014-2015 academic year:</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599</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16b.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students who received a degree in the 2014-2015 academic year:</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443</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 xml:space="preserve">16c.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students who received a certificate in the 2014-2015 academic year:</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404</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17a.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If your college has an institution-set standard for the number of students who transfer each year to 4-year colleges/universities, what is it?</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17b.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students who transferred to 4-year colleges/universities in 2014-2015:</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384</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18a.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Does the college have any certificate programs which are not career-technical education (CTE) certificates?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Yes</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18b.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If yes, please identify them:</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Biotechnology CA </w:t>
                              </w:r>
                              <w:r>
                                <w:rPr>
                                  <w:rFonts w:ascii="Verdana" w:hAnsi="Verdana"/>
                                  <w:color w:val="444444"/>
                                  <w:sz w:val="18"/>
                                  <w:szCs w:val="18"/>
                                </w:rPr>
                                <w:br/>
                                <w:t xml:space="preserve">Communications Study CA </w:t>
                              </w:r>
                              <w:r>
                                <w:rPr>
                                  <w:rFonts w:ascii="Verdana" w:hAnsi="Verdana"/>
                                  <w:color w:val="444444"/>
                                  <w:sz w:val="18"/>
                                  <w:szCs w:val="18"/>
                                </w:rPr>
                                <w:br/>
                                <w:t xml:space="preserve">Interpersonal Communications CA </w:t>
                              </w:r>
                              <w:r>
                                <w:rPr>
                                  <w:rFonts w:ascii="Verdana" w:hAnsi="Verdana"/>
                                  <w:color w:val="444444"/>
                                  <w:sz w:val="18"/>
                                  <w:szCs w:val="18"/>
                                </w:rPr>
                                <w:br/>
                                <w:t xml:space="preserve">Kinesiology: </w:t>
                              </w:r>
                              <w:proofErr w:type="spellStart"/>
                              <w:r>
                                <w:rPr>
                                  <w:rFonts w:ascii="Verdana" w:hAnsi="Verdana"/>
                                  <w:color w:val="444444"/>
                                  <w:sz w:val="18"/>
                                  <w:szCs w:val="18"/>
                                </w:rPr>
                                <w:t>Pers</w:t>
                              </w:r>
                              <w:proofErr w:type="spellEnd"/>
                              <w:r>
                                <w:rPr>
                                  <w:rFonts w:ascii="Verdana" w:hAnsi="Verdana"/>
                                  <w:color w:val="444444"/>
                                  <w:sz w:val="18"/>
                                  <w:szCs w:val="18"/>
                                </w:rPr>
                                <w:t xml:space="preserve"> Fit Train CA </w:t>
                              </w:r>
                              <w:r>
                                <w:rPr>
                                  <w:rFonts w:ascii="Verdana" w:hAnsi="Verdana"/>
                                  <w:color w:val="444444"/>
                                  <w:sz w:val="18"/>
                                  <w:szCs w:val="18"/>
                                </w:rPr>
                                <w:br/>
                                <w:t xml:space="preserve">CSU General Education CA </w:t>
                              </w:r>
                              <w:r>
                                <w:rPr>
                                  <w:rFonts w:ascii="Verdana" w:hAnsi="Verdana"/>
                                  <w:color w:val="444444"/>
                                  <w:sz w:val="18"/>
                                  <w:szCs w:val="18"/>
                                </w:rPr>
                                <w:br/>
                                <w:t xml:space="preserve">IGETC General Education CA </w:t>
                              </w:r>
                              <w:r>
                                <w:rPr>
                                  <w:rFonts w:ascii="Verdana" w:hAnsi="Verdana"/>
                                  <w:color w:val="444444"/>
                                  <w:sz w:val="18"/>
                                  <w:szCs w:val="18"/>
                                </w:rPr>
                                <w:br/>
                                <w:t xml:space="preserve">Music </w:t>
                              </w:r>
                              <w:proofErr w:type="spellStart"/>
                              <w:r>
                                <w:rPr>
                                  <w:rFonts w:ascii="Verdana" w:hAnsi="Verdana"/>
                                  <w:color w:val="444444"/>
                                  <w:sz w:val="18"/>
                                  <w:szCs w:val="18"/>
                                </w:rPr>
                                <w:t>Compostiion</w:t>
                              </w:r>
                              <w:proofErr w:type="spellEnd"/>
                              <w:r>
                                <w:rPr>
                                  <w:rFonts w:ascii="Verdana" w:hAnsi="Verdana"/>
                                  <w:color w:val="444444"/>
                                  <w:sz w:val="18"/>
                                  <w:szCs w:val="18"/>
                                </w:rPr>
                                <w:t xml:space="preserve">/Prod CA </w:t>
                              </w:r>
                              <w:r>
                                <w:rPr>
                                  <w:rFonts w:ascii="Verdana" w:hAnsi="Verdana"/>
                                  <w:color w:val="444444"/>
                                  <w:sz w:val="18"/>
                                  <w:szCs w:val="18"/>
                                </w:rPr>
                                <w:br/>
                                <w:t xml:space="preserve">World Phil and Religions CP </w:t>
                              </w:r>
                              <w:r>
                                <w:rPr>
                                  <w:rFonts w:ascii="Verdana" w:hAnsi="Verdana"/>
                                  <w:color w:val="444444"/>
                                  <w:sz w:val="18"/>
                                  <w:szCs w:val="18"/>
                                </w:rPr>
                                <w:br/>
                                <w:t xml:space="preserve">Spanish CA </w:t>
                              </w:r>
                              <w:r>
                                <w:rPr>
                                  <w:rFonts w:ascii="Verdana" w:hAnsi="Verdana"/>
                                  <w:color w:val="444444"/>
                                  <w:sz w:val="18"/>
                                  <w:szCs w:val="18"/>
                                </w:rPr>
                                <w:br/>
                                <w:t xml:space="preserve">Spanish Non Native Spkr2 CA </w:t>
                              </w:r>
                              <w:r>
                                <w:rPr>
                                  <w:rFonts w:ascii="Verdana" w:hAnsi="Verdana"/>
                                  <w:color w:val="444444"/>
                                  <w:sz w:val="18"/>
                                  <w:szCs w:val="18"/>
                                </w:rPr>
                                <w:br/>
                                <w:t xml:space="preserve">Spanish Non Native Spkr3 CA </w:t>
                              </w:r>
                              <w:r>
                                <w:rPr>
                                  <w:rFonts w:ascii="Verdana" w:hAnsi="Verdana"/>
                                  <w:color w:val="444444"/>
                                  <w:sz w:val="18"/>
                                  <w:szCs w:val="18"/>
                                </w:rPr>
                                <w:br/>
                                <w:t xml:space="preserve">Spanish Native Spkr4 CA </w:t>
                              </w:r>
                              <w:r>
                                <w:rPr>
                                  <w:rFonts w:ascii="Verdana" w:hAnsi="Verdana"/>
                                  <w:color w:val="444444"/>
                                  <w:sz w:val="18"/>
                                  <w:szCs w:val="18"/>
                                </w:rPr>
                                <w:br/>
                              </w:r>
                              <w:proofErr w:type="spellStart"/>
                              <w:r>
                                <w:rPr>
                                  <w:rFonts w:ascii="Verdana" w:hAnsi="Verdana"/>
                                  <w:color w:val="444444"/>
                                  <w:sz w:val="18"/>
                                  <w:szCs w:val="18"/>
                                </w:rPr>
                                <w:t>Soc</w:t>
                              </w:r>
                              <w:proofErr w:type="spellEnd"/>
                              <w:r>
                                <w:rPr>
                                  <w:rFonts w:ascii="Verdana" w:hAnsi="Verdana"/>
                                  <w:color w:val="444444"/>
                                  <w:sz w:val="18"/>
                                  <w:szCs w:val="18"/>
                                </w:rPr>
                                <w:t xml:space="preserve"> </w:t>
                              </w:r>
                              <w:proofErr w:type="spellStart"/>
                              <w:r>
                                <w:rPr>
                                  <w:rFonts w:ascii="Verdana" w:hAnsi="Verdana"/>
                                  <w:color w:val="444444"/>
                                  <w:sz w:val="18"/>
                                  <w:szCs w:val="18"/>
                                </w:rPr>
                                <w:t>Sci</w:t>
                              </w:r>
                              <w:proofErr w:type="spellEnd"/>
                              <w:r>
                                <w:rPr>
                                  <w:rFonts w:ascii="Verdana" w:hAnsi="Verdana"/>
                                  <w:color w:val="444444"/>
                                  <w:sz w:val="18"/>
                                  <w:szCs w:val="18"/>
                                </w:rPr>
                                <w:t xml:space="preserve">-Community Studies CA </w:t>
                              </w:r>
                              <w:r>
                                <w:rPr>
                                  <w:rFonts w:ascii="Verdana" w:hAnsi="Verdana"/>
                                  <w:color w:val="444444"/>
                                  <w:sz w:val="18"/>
                                  <w:szCs w:val="18"/>
                                </w:rPr>
                                <w:br/>
                              </w:r>
                              <w:proofErr w:type="spellStart"/>
                              <w:r>
                                <w:rPr>
                                  <w:rFonts w:ascii="Verdana" w:hAnsi="Verdana"/>
                                  <w:color w:val="444444"/>
                                  <w:sz w:val="18"/>
                                  <w:szCs w:val="18"/>
                                </w:rPr>
                                <w:t>Theatre:TV</w:t>
                              </w:r>
                              <w:proofErr w:type="spellEnd"/>
                              <w:r>
                                <w:rPr>
                                  <w:rFonts w:ascii="Verdana" w:hAnsi="Verdana"/>
                                  <w:color w:val="444444"/>
                                  <w:sz w:val="18"/>
                                  <w:szCs w:val="18"/>
                                </w:rPr>
                                <w:t xml:space="preserve"> Performance CA </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19a.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career-technical education (CTE) certificates and degrees: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69</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19b.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CTE certificates and degrees which have identified technical and professional competencies that meet employment standards and other standards, including those for licensure and certification:</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19c.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CTE certificates and degrees for which the institution has set a standard for licensure passage rates: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19d.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CTE certificates and degrees for which the institution has set a standard for graduate employment rates: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20.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2013-2014 examination pass rates in programs for which students must pass a licensure examination in order to work in their field of study:</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1217"/>
                                <w:gridCol w:w="1378"/>
                                <w:gridCol w:w="1369"/>
                                <w:gridCol w:w="1355"/>
                              </w:tblGrid>
                              <w:tr w:rsidR="00FE5E20">
                                <w:trPr>
                                  <w:tblCellSpacing w:w="15" w:type="dxa"/>
                                  <w:jc w:val="center"/>
                                </w:trPr>
                                <w:tc>
                                  <w:tcPr>
                                    <w:tcW w:w="3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Program</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CIP Code</w:t>
                                    </w:r>
                                    <w:r>
                                      <w:rPr>
                                        <w:rFonts w:ascii="Verdana" w:hAnsi="Verdana"/>
                                        <w:b/>
                                        <w:bCs/>
                                        <w:color w:val="444444"/>
                                        <w:sz w:val="18"/>
                                        <w:szCs w:val="18"/>
                                      </w:rPr>
                                      <w:br/>
                                      <w:t xml:space="preserve">4 </w:t>
                                    </w:r>
                                    <w:proofErr w:type="gramStart"/>
                                    <w:r>
                                      <w:rPr>
                                        <w:rFonts w:ascii="Verdana" w:hAnsi="Verdana"/>
                                        <w:b/>
                                        <w:bCs/>
                                        <w:color w:val="444444"/>
                                        <w:sz w:val="18"/>
                                        <w:szCs w:val="18"/>
                                      </w:rPr>
                                      <w:t>digits</w:t>
                                    </w:r>
                                    <w:proofErr w:type="gramEnd"/>
                                    <w:r>
                                      <w:rPr>
                                        <w:rFonts w:ascii="Verdana" w:hAnsi="Verdana"/>
                                        <w:b/>
                                        <w:bCs/>
                                        <w:color w:val="444444"/>
                                        <w:sz w:val="18"/>
                                        <w:szCs w:val="18"/>
                                      </w:rPr>
                                      <w:br/>
                                      <w:t>(##.##)</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Examination</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Institution set standard (%)</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Pass Rate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Aviation Maintenance Technology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470607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national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Cosmetology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120401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state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75 %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89 %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Nursing – RN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513801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national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89.47 %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Nursing – LVN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513901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national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100 %</w:t>
                                    </w:r>
                                  </w:p>
                                </w:tc>
                              </w:tr>
                            </w:tbl>
                            <w:p w:rsidR="00FE5E20" w:rsidRDefault="00FE5E20">
                              <w:pPr>
                                <w:jc w:val="cente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21.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2013-2014 job placement rates for students completing certificate programs and CTE (career-</w:t>
                              </w:r>
                              <w:r>
                                <w:rPr>
                                  <w:rFonts w:ascii="Verdana" w:hAnsi="Verdana"/>
                                  <w:color w:val="444444"/>
                                  <w:sz w:val="18"/>
                                  <w:szCs w:val="18"/>
                                </w:rPr>
                                <w:lastRenderedPageBreak/>
                                <w:t>technology education) degrees: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3"/>
                                <w:gridCol w:w="1221"/>
                                <w:gridCol w:w="1373"/>
                                <w:gridCol w:w="1383"/>
                              </w:tblGrid>
                              <w:tr w:rsidR="00FE5E20">
                                <w:trPr>
                                  <w:tblCellSpacing w:w="15" w:type="dxa"/>
                                  <w:jc w:val="center"/>
                                </w:trPr>
                                <w:tc>
                                  <w:tcPr>
                                    <w:tcW w:w="4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Program</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CIP Code</w:t>
                                    </w:r>
                                    <w:r>
                                      <w:rPr>
                                        <w:rFonts w:ascii="Verdana" w:hAnsi="Verdana"/>
                                        <w:b/>
                                        <w:bCs/>
                                        <w:color w:val="444444"/>
                                        <w:sz w:val="18"/>
                                        <w:szCs w:val="18"/>
                                      </w:rPr>
                                      <w:br/>
                                      <w:t xml:space="preserve">4 </w:t>
                                    </w:r>
                                    <w:proofErr w:type="gramStart"/>
                                    <w:r>
                                      <w:rPr>
                                        <w:rFonts w:ascii="Verdana" w:hAnsi="Verdana"/>
                                        <w:b/>
                                        <w:bCs/>
                                        <w:color w:val="444444"/>
                                        <w:sz w:val="18"/>
                                        <w:szCs w:val="18"/>
                                      </w:rPr>
                                      <w:t>digits</w:t>
                                    </w:r>
                                    <w:proofErr w:type="gramEnd"/>
                                    <w:r>
                                      <w:rPr>
                                        <w:rFonts w:ascii="Verdana" w:hAnsi="Verdana"/>
                                        <w:b/>
                                        <w:bCs/>
                                        <w:color w:val="444444"/>
                                        <w:sz w:val="18"/>
                                        <w:szCs w:val="18"/>
                                      </w:rPr>
                                      <w:br/>
                                      <w:t>(##.##)</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Institution set standard (%)</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Job Placement Rate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Nursing – RN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513801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100 %</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Nursing – LVN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513901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100 %</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Aviation Maintenance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470607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61.74 %</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75.54 %</w:t>
                                    </w:r>
                                  </w:p>
                                </w:tc>
                              </w:tr>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Cosmetology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center"/>
                                      <w:rPr>
                                        <w:rFonts w:ascii="Verdana" w:hAnsi="Verdana"/>
                                        <w:color w:val="444444"/>
                                        <w:sz w:val="18"/>
                                        <w:szCs w:val="18"/>
                                      </w:rPr>
                                    </w:pPr>
                                    <w:r>
                                      <w:rPr>
                                        <w:rFonts w:ascii="Verdana" w:hAnsi="Verdana"/>
                                        <w:color w:val="444444"/>
                                        <w:sz w:val="18"/>
                                        <w:szCs w:val="18"/>
                                      </w:rPr>
                                      <w:t>120401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76.79 %</w:t>
                                    </w:r>
                                  </w:p>
                                </w:tc>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81.58 %</w:t>
                                    </w:r>
                                  </w:p>
                                </w:tc>
                              </w:tr>
                            </w:tbl>
                            <w:p w:rsidR="00FE5E20" w:rsidRDefault="00FE5E20">
                              <w:pPr>
                                <w:jc w:val="cente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 xml:space="preserve">22.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Please list any other institution set standards at your college:</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2"/>
                                <w:gridCol w:w="4451"/>
                                <w:gridCol w:w="1537"/>
                              </w:tblGrid>
                              <w:tr w:rsidR="00FE5E20">
                                <w:trPr>
                                  <w:tblCellSpacing w:w="15" w:type="dxa"/>
                                  <w:jc w:val="center"/>
                                </w:trPr>
                                <w:tc>
                                  <w:tcPr>
                                    <w:tcW w:w="27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Criteria Measured (i.e. persistence, starting salary, etc.)</w:t>
                                    </w:r>
                                  </w:p>
                                </w:tc>
                                <w:tc>
                                  <w:tcPr>
                                    <w:tcW w:w="4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Definition</w:t>
                                    </w:r>
                                  </w:p>
                                </w:tc>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Institution</w:t>
                                    </w:r>
                                    <w:r>
                                      <w:rPr>
                                        <w:rFonts w:ascii="Verdana" w:hAnsi="Verdana"/>
                                        <w:b/>
                                        <w:bCs/>
                                        <w:color w:val="444444"/>
                                        <w:sz w:val="18"/>
                                        <w:szCs w:val="18"/>
                                      </w:rPr>
                                      <w:br/>
                                      <w:t>set standard</w:t>
                                    </w:r>
                                  </w:p>
                                </w:tc>
                              </w:tr>
                            </w:tbl>
                            <w:p w:rsidR="00FE5E20" w:rsidRDefault="00FE5E20">
                              <w:pPr>
                                <w:jc w:val="cente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23.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Effective practice to share with the field: Describe examples of effective and/or innovative practices at your college for setting institution-set standards, evaluating college or programmatic performance related to student achievement, and changes that have happened in response to analyzing college or program performance (1,250 character </w:t>
                              </w:r>
                              <w:proofErr w:type="gramStart"/>
                              <w:r>
                                <w:rPr>
                                  <w:rFonts w:ascii="Verdana" w:hAnsi="Verdana"/>
                                  <w:color w:val="444444"/>
                                  <w:sz w:val="18"/>
                                  <w:szCs w:val="18"/>
                                </w:rPr>
                                <w:t>limit</w:t>
                              </w:r>
                              <w:proofErr w:type="gramEnd"/>
                              <w:r>
                                <w:rPr>
                                  <w:rFonts w:ascii="Verdana" w:hAnsi="Verdana"/>
                                  <w:color w:val="444444"/>
                                  <w:sz w:val="18"/>
                                  <w:szCs w:val="18"/>
                                </w:rPr>
                                <w:t>, approximately 250 words).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0"/>
                              </w:tblGrid>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Gavilan College continues to build upon the work described in previous reports through a number of in </w:t>
                                    </w:r>
                                    <w:proofErr w:type="spellStart"/>
                                    <w:r>
                                      <w:rPr>
                                        <w:rFonts w:ascii="Verdana" w:hAnsi="Verdana"/>
                                        <w:color w:val="444444"/>
                                        <w:sz w:val="18"/>
                                        <w:szCs w:val="18"/>
                                      </w:rPr>
                                      <w:t>structional</w:t>
                                    </w:r>
                                    <w:proofErr w:type="spellEnd"/>
                                    <w:r>
                                      <w:rPr>
                                        <w:rFonts w:ascii="Verdana" w:hAnsi="Verdana"/>
                                        <w:color w:val="444444"/>
                                        <w:sz w:val="18"/>
                                        <w:szCs w:val="18"/>
                                      </w:rPr>
                                      <w:t xml:space="preserve"> and student service initiatives that reflect data sets available through GIDS, ARGOS, the Chancellors\'s Office Scorecard, </w:t>
                                    </w:r>
                                    <w:proofErr w:type="spellStart"/>
                                    <w:r>
                                      <w:rPr>
                                        <w:rFonts w:ascii="Verdana" w:hAnsi="Verdana"/>
                                        <w:color w:val="444444"/>
                                        <w:sz w:val="18"/>
                                        <w:szCs w:val="18"/>
                                      </w:rPr>
                                      <w:t>LaunchBoard</w:t>
                                    </w:r>
                                    <w:proofErr w:type="spellEnd"/>
                                    <w:r>
                                      <w:rPr>
                                        <w:rFonts w:ascii="Verdana" w:hAnsi="Verdana"/>
                                        <w:color w:val="444444"/>
                                        <w:sz w:val="18"/>
                                        <w:szCs w:val="18"/>
                                      </w:rPr>
                                      <w:t xml:space="preserve">, IEPI portal and local reporting tools. This year we have only had an Institutional Researcher for a portion of the year and are looking forward to bringing in both a new researcher and a grant supported analyst in late spring. Still, through the work of the faculty liaison positions and through the support of the administrative team and department chairs the newly established Learning Commons has built on the work on the Student Success Center as a hub where directed learning activities are assessed in alignment with the curriculum at the course level and then analyzed to the program level at the department level. Acceleration continues to show positive outcomes in Math and English and has resulted in modification to the program learning outcomes reported on the modified reporting site developed by last year\'s SLO faculty </w:t>
                                    </w:r>
                                    <w:proofErr w:type="spellStart"/>
                                    <w:r>
                                      <w:rPr>
                                        <w:rFonts w:ascii="Verdana" w:hAnsi="Verdana"/>
                                        <w:color w:val="444444"/>
                                        <w:sz w:val="18"/>
                                        <w:szCs w:val="18"/>
                                      </w:rPr>
                                      <w:t>liais</w:t>
                                    </w:r>
                                    <w:proofErr w:type="spellEnd"/>
                                    <w:r>
                                      <w:rPr>
                                        <w:rFonts w:ascii="Verdana" w:hAnsi="Verdana"/>
                                        <w:color w:val="444444"/>
                                        <w:sz w:val="18"/>
                                        <w:szCs w:val="18"/>
                                      </w:rPr>
                                      <w:t xml:space="preserve"> on. The college is in the second year of setting local institution set standards through the IEPI portal and has appointed a small group of faculty to lead the discussion about disaggregated student data at the course level as a major focus for the current year.</w:t>
                                    </w:r>
                                  </w:p>
                                </w:tc>
                              </w:tr>
                            </w:tbl>
                            <w:p w:rsidR="00FE5E20" w:rsidRDefault="00FE5E20">
                              <w:pPr>
                                <w:jc w:val="center"/>
                                <w:rPr>
                                  <w:rFonts w:eastAsia="Times New Roman"/>
                                  <w:sz w:val="20"/>
                                  <w:szCs w:val="20"/>
                                </w:rPr>
                              </w:pPr>
                            </w:p>
                          </w:tc>
                        </w:tr>
                      </w:tbl>
                      <w:p w:rsidR="00FE5E20" w:rsidRDefault="00FE5E20">
                        <w:pPr>
                          <w:rPr>
                            <w:rFonts w:eastAsia="Times New Roman"/>
                            <w:sz w:val="20"/>
                            <w:szCs w:val="20"/>
                          </w:rPr>
                        </w:pPr>
                      </w:p>
                    </w:tc>
                  </w:tr>
                  <w:tr w:rsidR="00FE5E20">
                    <w:trPr>
                      <w:trHeight w:val="75"/>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spacing w:line="75" w:lineRule="atLeast"/>
                          <w:rPr>
                            <w:rFonts w:ascii="Verdana" w:hAnsi="Verdana"/>
                            <w:color w:val="444444"/>
                            <w:sz w:val="18"/>
                            <w:szCs w:val="18"/>
                          </w:rPr>
                        </w:pPr>
                        <w:r>
                          <w:rPr>
                            <w:rFonts w:ascii="Verdana" w:hAnsi="Verdana"/>
                            <w:color w:val="444444"/>
                            <w:sz w:val="18"/>
                            <w:szCs w:val="18"/>
                          </w:rPr>
                          <w:lastRenderedPageBreak/>
                          <w:t> </w:t>
                        </w:r>
                      </w:p>
                    </w:tc>
                  </w:tr>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444444"/>
                            <w:sz w:val="18"/>
                            <w:szCs w:val="18"/>
                          </w:rPr>
                          <w:t>Student Learning Outcomes and Assessment</w:t>
                        </w:r>
                      </w:p>
                    </w:tc>
                  </w:tr>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20"/>
                            <w:szCs w:val="20"/>
                          </w:rPr>
                          <w:t>Note: Colleges were expected to achieve the proficiency level of Student Learning Outcomes assessment by fall 2012. At this time, colleges are expected to be in full compliance with the Accreditation Standards related to student learning outcomes and assessment. All courses, programs, and student and learning support activities of the college are expected to have student learning outcomes defined, so that ongoing assessment and other requirements of Accreditation Standards are met across the institution. In preparation for the 2016 reporting, please refer to the revised Accreditation Standards adopted June 2014.</w:t>
                        </w:r>
                      </w:p>
                    </w:tc>
                  </w:tr>
                  <w:tr w:rsidR="00FE5E20">
                    <w:trPr>
                      <w:tblCellSpacing w:w="15" w:type="dxa"/>
                      <w:jc w:val="center"/>
                    </w:trPr>
                    <w:tc>
                      <w:tcPr>
                        <w:tcW w:w="0" w:type="auto"/>
                        <w:tcMar>
                          <w:top w:w="75" w:type="dxa"/>
                          <w:left w:w="75" w:type="dxa"/>
                          <w:bottom w:w="75" w:type="dxa"/>
                          <w:right w:w="75" w:type="dxa"/>
                        </w:tcMar>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5604"/>
                          <w:gridCol w:w="3449"/>
                        </w:tblGrid>
                        <w:tr w:rsidR="00FE5E20">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Answer</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24.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Courses</w:t>
                              </w:r>
                            </w:p>
                            <w:tbl>
                              <w:tblPr>
                                <w:tblW w:w="87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7122"/>
                                <w:gridCol w:w="1233"/>
                              </w:tblGrid>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a.</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number of college courses:</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722</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b.</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college courses with ongoing assessment of learning outcomes</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696</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Auto-calculated field: percentage of total:</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96.4</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 xml:space="preserve">25.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Courses</w:t>
                              </w:r>
                            </w:p>
                            <w:tbl>
                              <w:tblPr>
                                <w:tblW w:w="87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7122"/>
                                <w:gridCol w:w="1233"/>
                              </w:tblGrid>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a.</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number of college programs (all certificates and degrees, and other programs as defined by college):</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90</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b.</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college programs with ongoing assessment of learning outcomes</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85</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Auto-calculated field: percentage of total:</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94.4</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26.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Courses</w:t>
                              </w:r>
                            </w:p>
                            <w:tbl>
                              <w:tblPr>
                                <w:tblW w:w="87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7124"/>
                                <w:gridCol w:w="1231"/>
                              </w:tblGrid>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a.</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Total number of student and learning support activities (as college has identified or grouped them for SLO implementation):</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32</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b.</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student and learning support activities with ongoing assessment of learning outcomes:</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32</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w:t>
                                    </w:r>
                                  </w:p>
                                </w:tc>
                                <w:tc>
                                  <w:tcPr>
                                    <w:tcW w:w="7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Auto-calculated field: percentage of total:</w:t>
                                    </w:r>
                                  </w:p>
                                </w:tc>
                                <w:tc>
                                  <w:tcPr>
                                    <w:tcW w:w="12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100</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27.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URL(s) from the college website where prospective students can find SLO assessment results for instructional programs: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hyperlink r:id="rId13" w:history="1">
                                <w:r>
                                  <w:rPr>
                                    <w:rStyle w:val="Hyperlink"/>
                                    <w:rFonts w:ascii="Verdana" w:hAnsi="Verdana"/>
                                    <w:sz w:val="18"/>
                                    <w:szCs w:val="18"/>
                                  </w:rPr>
                                  <w:t>http://www.gavilan.edu/slo/</w:t>
                                </w:r>
                              </w:hyperlink>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28.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courses identified as part of the general education (GE) program:</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361</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29.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Percent of GE courses with ongoing assessment of GE learning outcomes: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96%</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30.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Do your institution's GE outcomes include all areas identified in the Accreditation Standards?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Yes</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31.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Number of GE courses with Student Learning Outcomes mapped to GE </w:t>
                              </w:r>
                              <w:r>
                                <w:rPr>
                                  <w:rFonts w:ascii="Verdana" w:hAnsi="Verdana"/>
                                  <w:i/>
                                  <w:iCs/>
                                  <w:color w:val="444444"/>
                                  <w:sz w:val="18"/>
                                  <w:szCs w:val="18"/>
                                </w:rPr>
                                <w:t>program Student Learning Outcomes</w:t>
                              </w:r>
                              <w:r>
                                <w:rPr>
                                  <w:rFonts w:ascii="Verdana" w:hAnsi="Verdana"/>
                                  <w:color w:val="444444"/>
                                  <w:sz w:val="18"/>
                                  <w:szCs w:val="18"/>
                                </w:rPr>
                                <w:t>:</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386</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32.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Institutional Student Learning Outcomes defined:</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7</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33.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Percentage of college instructional programs and student and learning support activities which have Institutional Student Learning Outcomes mapped to those programs (courses) and activities (student and learning support activities).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89.3%</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34.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Percent of institutional outcomes (ILOs) with ongoing assessment of learning outcomes: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41%</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35.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Effective practice to share with the field: Describe effective and/or innovative practices at your college for measuring ILOs, documenting accomplishment of ILOs in non-instructional areas of the college, informing college faculty, staff, students, and the public about ILOs, or other aspects of your ILO practice (1,250 character limit, approximately 250 words).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0"/>
                              </w:tblGrid>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Gavilan College\'s ILOs include the following thematic areas: Communication, Cognition, Information Competency, Social Interaction, Aesthetic Responsiveness, and Personal </w:t>
                                    </w:r>
                                    <w:r>
                                      <w:rPr>
                                        <w:rFonts w:ascii="Verdana" w:hAnsi="Verdana"/>
                                        <w:color w:val="444444"/>
                                        <w:sz w:val="18"/>
                                        <w:szCs w:val="18"/>
                                      </w:rPr>
                                      <w:lastRenderedPageBreak/>
                                      <w:t xml:space="preserve">Development and Responsibility. These ILOs are on the college\'s website and are inherent in all of the college\'s planning activities and are mapped to the Strategic Plan and the Educational Master Plan. This year There was a particular focus on Information Competency with pilot noncredit sections added to select sections of English and Social </w:t>
                                    </w:r>
                                    <w:proofErr w:type="spellStart"/>
                                    <w:r>
                                      <w:rPr>
                                        <w:rFonts w:ascii="Verdana" w:hAnsi="Verdana"/>
                                        <w:color w:val="444444"/>
                                        <w:sz w:val="18"/>
                                        <w:szCs w:val="18"/>
                                      </w:rPr>
                                      <w:t>Scienc</w:t>
                                    </w:r>
                                    <w:proofErr w:type="spellEnd"/>
                                    <w:r>
                                      <w:rPr>
                                        <w:rFonts w:ascii="Verdana" w:hAnsi="Verdana"/>
                                        <w:color w:val="444444"/>
                                        <w:sz w:val="18"/>
                                        <w:szCs w:val="18"/>
                                      </w:rPr>
                                      <w:t xml:space="preserve"> </w:t>
                                    </w:r>
                                    <w:proofErr w:type="spellStart"/>
                                    <w:r>
                                      <w:rPr>
                                        <w:rFonts w:ascii="Verdana" w:hAnsi="Verdana"/>
                                        <w:color w:val="444444"/>
                                        <w:sz w:val="18"/>
                                        <w:szCs w:val="18"/>
                                      </w:rPr>
                                      <w:t>es</w:t>
                                    </w:r>
                                    <w:proofErr w:type="spellEnd"/>
                                    <w:r>
                                      <w:rPr>
                                        <w:rFonts w:ascii="Verdana" w:hAnsi="Verdana"/>
                                        <w:color w:val="444444"/>
                                        <w:sz w:val="18"/>
                                        <w:szCs w:val="18"/>
                                      </w:rPr>
                                      <w:t xml:space="preserve"> to provide focused skill building in literacy and research skills.</w:t>
                                    </w:r>
                                  </w:p>
                                </w:tc>
                              </w:tr>
                            </w:tbl>
                            <w:p w:rsidR="00FE5E20" w:rsidRDefault="00FE5E20">
                              <w:pPr>
                                <w:jc w:val="center"/>
                                <w:rPr>
                                  <w:rFonts w:eastAsia="Times New Roman"/>
                                  <w:sz w:val="20"/>
                                  <w:szCs w:val="20"/>
                                </w:rPr>
                              </w:pPr>
                            </w:p>
                          </w:tc>
                        </w:tr>
                        <w:tr w:rsidR="00FE5E20">
                          <w:trPr>
                            <w:tblCellSpacing w:w="15" w:type="dxa"/>
                          </w:trPr>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b/>
                                  <w:bCs/>
                                  <w:color w:val="444444"/>
                                  <w:sz w:val="18"/>
                                  <w:szCs w:val="18"/>
                                </w:rPr>
                                <w:lastRenderedPageBreak/>
                                <w:t>Each of the following narrative responses is limited to 250 words. As you develop your responses, please be mindful of success stories that can be reported in the last question of this section. We look forward to including this information from colleges in our report to the Commission and the field in June.</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36.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Please discuss alignment of student learning outcomes at your institution, from institutional and course to program level. Describe your activities beyond </w:t>
                              </w:r>
                              <w:proofErr w:type="spellStart"/>
                              <w:r>
                                <w:rPr>
                                  <w:rFonts w:ascii="Verdana" w:hAnsi="Verdana"/>
                                  <w:color w:val="444444"/>
                                  <w:sz w:val="18"/>
                                  <w:szCs w:val="18"/>
                                </w:rPr>
                                <w:t>crosswalking</w:t>
                              </w:r>
                              <w:proofErr w:type="spellEnd"/>
                              <w:r>
                                <w:rPr>
                                  <w:rFonts w:ascii="Verdana" w:hAnsi="Verdana"/>
                                  <w:color w:val="444444"/>
                                  <w:sz w:val="18"/>
                                  <w:szCs w:val="18"/>
                                </w:rPr>
                                <w:t xml:space="preserve"> or charting all outcomes to courses in a program (often called “mapping”), to analysis and implementation of alignment in the planning of curriculum and delivery of instruction. Discuss how the alignment effort has resulted in changes of expected outcomes and/or how students’ programs of study have been clarified. Note whether the described practices apply to all instructional programs at the college (1,250 character limit, approximately 250 words).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0"/>
                              </w:tblGrid>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In addition to what has been previously reported, each department is asked to provide a pre and post report each semester to the office of instruction to respond to questions about course level assessment, program level assessment, alignment and mapping, and strategies for communicating the results with the members of the department and the division. Minutes from the department meetings indicate that </w:t>
                                    </w:r>
                                    <w:proofErr w:type="gramStart"/>
                                    <w:r>
                                      <w:rPr>
                                        <w:rFonts w:ascii="Verdana" w:hAnsi="Verdana"/>
                                        <w:color w:val="444444"/>
                                        <w:sz w:val="18"/>
                                        <w:szCs w:val="18"/>
                                      </w:rPr>
                                      <w:t>discussions about how assessment mirrors standard instructional practice and how to make this work more meaningful is</w:t>
                                    </w:r>
                                    <w:proofErr w:type="gramEnd"/>
                                    <w:r>
                                      <w:rPr>
                                        <w:rFonts w:ascii="Verdana" w:hAnsi="Verdana"/>
                                        <w:color w:val="444444"/>
                                        <w:sz w:val="18"/>
                                        <w:szCs w:val="18"/>
                                      </w:rPr>
                                      <w:t xml:space="preserve"> continuous. The college uses regular assessment reports to communicate matters of quality assurance to the campus community and it continues to be a regular agenda item at each Department Chair meeting.</w:t>
                                    </w:r>
                                  </w:p>
                                </w:tc>
                              </w:tr>
                            </w:tbl>
                            <w:p w:rsidR="00FE5E20" w:rsidRDefault="00FE5E20">
                              <w:pPr>
                                <w:jc w:val="cente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37.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De </w:t>
                              </w:r>
                              <w:proofErr w:type="gramStart"/>
                              <w:r>
                                <w:rPr>
                                  <w:rFonts w:ascii="Verdana" w:hAnsi="Verdana"/>
                                  <w:color w:val="444444"/>
                                  <w:sz w:val="18"/>
                                  <w:szCs w:val="18"/>
                                </w:rPr>
                                <w:t>scribe</w:t>
                              </w:r>
                              <w:proofErr w:type="gramEnd"/>
                              <w:r>
                                <w:rPr>
                                  <w:rFonts w:ascii="Verdana" w:hAnsi="Verdana"/>
                                  <w:color w:val="444444"/>
                                  <w:sz w:val="18"/>
                                  <w:szCs w:val="18"/>
                                </w:rPr>
                                <w:t xml:space="preserve"> the various communication strategies at your college to share SLO assessment results for usage by internal and external audiences. Explain how communications take into account how the information is expected to influence the behavior or decisions of particular audiences. Discuss how communication of student learning outcomes assessment information and results impacts student behavior and achievement (1,250 character limit, approximately 250 words).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0"/>
                              </w:tblGrid>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There are several communication strategies in place at Gavilan College to share SLO, PLO and ILO information. The first is the database on the SLO link found on the intranet for all campus stakeholders to record and monitor SLO, PLO and ILO progress. Over the past year the SLO Liaison has updated this site to include a chat function, updated resources and a searchable database of all assessment information recorded. In addition ARGOS tracking tools are available for tracking and mapping retention, persistence and student success measures. Also, a public page is available for students to search SLOs from the home page.</w:t>
                                    </w:r>
                                  </w:p>
                                </w:tc>
                              </w:tr>
                            </w:tbl>
                            <w:p w:rsidR="00FE5E20" w:rsidRDefault="00FE5E20">
                              <w:pPr>
                                <w:jc w:val="cente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38.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Explain how dialog and reporting of SLO assessment results takes place at the departmental and institutional levels. Note whether practices involve all programs at the college. Illustrate how dialog and reporting impact program review, institutional planning, resource allocation, and institutional effectiveness (1,250 character limit, approximately 250 words).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0"/>
                              </w:tblGrid>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Since Fall 2013, at the mandatory Professional Development Day that starts each semester, faculty have participated in a structured exercise to build awareness and skill in the use of SLO assessments for instructional improvement. These discussions often result in specific ideas for improvement, which are then incorporated </w:t>
                                    </w:r>
                                    <w:proofErr w:type="spellStart"/>
                                    <w:r>
                                      <w:rPr>
                                        <w:rFonts w:ascii="Verdana" w:hAnsi="Verdana"/>
                                        <w:color w:val="444444"/>
                                        <w:sz w:val="18"/>
                                        <w:szCs w:val="18"/>
                                      </w:rPr>
                                      <w:t>int</w:t>
                                    </w:r>
                                    <w:proofErr w:type="spellEnd"/>
                                    <w:r>
                                      <w:rPr>
                                        <w:rFonts w:ascii="Verdana" w:hAnsi="Verdana"/>
                                        <w:color w:val="444444"/>
                                        <w:sz w:val="18"/>
                                        <w:szCs w:val="18"/>
                                      </w:rPr>
                                      <w:t xml:space="preserve"> o departmental program plans. For example, in one group, composed of faculty from the library, fine arts, and social science department, an instructor decided to integrate library resources into particular courses to support student </w:t>
                                    </w:r>
                                    <w:proofErr w:type="spellStart"/>
                                    <w:r>
                                      <w:rPr>
                                        <w:rFonts w:ascii="Verdana" w:hAnsi="Verdana"/>
                                        <w:color w:val="444444"/>
                                        <w:sz w:val="18"/>
                                        <w:szCs w:val="18"/>
                                      </w:rPr>
                                      <w:t>writing.These</w:t>
                                    </w:r>
                                    <w:proofErr w:type="spellEnd"/>
                                    <w:r>
                                      <w:rPr>
                                        <w:rFonts w:ascii="Verdana" w:hAnsi="Verdana"/>
                                        <w:color w:val="444444"/>
                                        <w:sz w:val="18"/>
                                        <w:szCs w:val="18"/>
                                      </w:rPr>
                                      <w:t xml:space="preserve"> professional development day faculty discussions stressed the link between assessment data and discussion of SLOs in the development of improvement plans.</w:t>
                                    </w:r>
                                  </w:p>
                                </w:tc>
                              </w:tr>
                            </w:tbl>
                            <w:p w:rsidR="00FE5E20" w:rsidRDefault="00FE5E20">
                              <w:pPr>
                                <w:jc w:val="cente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 xml:space="preserve">39.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Please share with us two or three success stories about the impacts of SLO practices on student learning, achievement, and institutional effectiveness. Describe the practices which led to the success (1,250 character limit, approximately 250 words).</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0"/>
                              </w:tblGrid>
                              <w:tr w:rsidR="00FE5E2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Faculty leadership in SLO instructional improvement has encouraged in-depth meaningful analysis of </w:t>
                                    </w:r>
                                    <w:proofErr w:type="spellStart"/>
                                    <w:proofErr w:type="gramStart"/>
                                    <w:r>
                                      <w:rPr>
                                        <w:rFonts w:ascii="Verdana" w:hAnsi="Verdana"/>
                                        <w:color w:val="444444"/>
                                        <w:sz w:val="18"/>
                                        <w:szCs w:val="18"/>
                                      </w:rPr>
                                      <w:t>students</w:t>
                                    </w:r>
                                    <w:proofErr w:type="spellEnd"/>
                                    <w:proofErr w:type="gramEnd"/>
                                    <w:r>
                                      <w:rPr>
                                        <w:rFonts w:ascii="Verdana" w:hAnsi="Verdana"/>
                                        <w:color w:val="444444"/>
                                        <w:sz w:val="18"/>
                                        <w:szCs w:val="18"/>
                                      </w:rPr>
                                      <w:t xml:space="preserve"> progress on learning outcomes. For example, English faculty met to discuss the assessment for a newly offered accelerated remedial English course. The common assessment found that students were not succeeding at the expected levels for several outcomes. As a result, the instructors agreed upon some important pedagogical changes: for instance, they created the exam and a grading rubric together and will now provide students practice and strategies for answering all parts of their prompt. The instructors noted the benefit of meeting in person to discuss assessment results and potential improvements. According to the lead instructor, one of the most important developments from the assessment was a commitment to conducting regular meetings, which are now taking place.</w:t>
                                    </w:r>
                                  </w:p>
                                </w:tc>
                              </w:tr>
                            </w:tbl>
                            <w:p w:rsidR="00FE5E20" w:rsidRDefault="00FE5E20">
                              <w:pPr>
                                <w:jc w:val="center"/>
                                <w:rPr>
                                  <w:rFonts w:eastAsia="Times New Roman"/>
                                  <w:sz w:val="20"/>
                                  <w:szCs w:val="20"/>
                                </w:rPr>
                              </w:pPr>
                            </w:p>
                          </w:tc>
                        </w:tr>
                      </w:tbl>
                      <w:p w:rsidR="00FE5E20" w:rsidRDefault="00FE5E20">
                        <w:pPr>
                          <w:rPr>
                            <w:rFonts w:eastAsia="Times New Roman"/>
                            <w:sz w:val="20"/>
                            <w:szCs w:val="20"/>
                          </w:rPr>
                        </w:pPr>
                      </w:p>
                    </w:tc>
                  </w:tr>
                  <w:tr w:rsidR="00FE5E20">
                    <w:trPr>
                      <w:trHeight w:val="75"/>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spacing w:line="75" w:lineRule="atLeast"/>
                          <w:rPr>
                            <w:rFonts w:ascii="Verdana" w:hAnsi="Verdana"/>
                            <w:color w:val="444444"/>
                            <w:sz w:val="18"/>
                            <w:szCs w:val="18"/>
                          </w:rPr>
                        </w:pPr>
                        <w:r>
                          <w:rPr>
                            <w:rFonts w:ascii="Verdana" w:hAnsi="Verdana"/>
                            <w:color w:val="444444"/>
                            <w:sz w:val="18"/>
                            <w:szCs w:val="18"/>
                          </w:rPr>
                          <w:lastRenderedPageBreak/>
                          <w:t> </w:t>
                        </w:r>
                      </w:p>
                    </w:tc>
                  </w:tr>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444444"/>
                            <w:sz w:val="18"/>
                            <w:szCs w:val="18"/>
                          </w:rPr>
                          <w:t>Substantive Change Items</w:t>
                        </w:r>
                      </w:p>
                    </w:tc>
                  </w:tr>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008000"/>
                            <w:sz w:val="20"/>
                            <w:szCs w:val="20"/>
                          </w:rPr>
                          <w:t>NOTE: These questions are for monitoring purposes only and do not replace the ACCJC substantive change approval process. Please refer to the Substantive Change Manual regarding communication with the Commission.</w:t>
                        </w:r>
                      </w:p>
                    </w:tc>
                  </w:tr>
                  <w:tr w:rsidR="00FE5E20">
                    <w:trPr>
                      <w:trHeight w:val="75"/>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spacing w:line="75" w:lineRule="atLeast"/>
                          <w:rPr>
                            <w:rFonts w:ascii="Verdana" w:hAnsi="Verdana"/>
                            <w:color w:val="444444"/>
                            <w:sz w:val="18"/>
                            <w:szCs w:val="18"/>
                          </w:rPr>
                        </w:pPr>
                        <w:r>
                          <w:rPr>
                            <w:rFonts w:ascii="Verdana" w:hAnsi="Verdana"/>
                            <w:color w:val="444444"/>
                            <w:sz w:val="18"/>
                            <w:szCs w:val="18"/>
                          </w:rPr>
                          <w:t> </w:t>
                        </w:r>
                      </w:p>
                    </w:tc>
                  </w:tr>
                  <w:tr w:rsidR="00FE5E20">
                    <w:trPr>
                      <w:tblCellSpacing w:w="15" w:type="dxa"/>
                      <w:jc w:val="center"/>
                    </w:trPr>
                    <w:tc>
                      <w:tcPr>
                        <w:tcW w:w="0" w:type="auto"/>
                        <w:tcMar>
                          <w:top w:w="75" w:type="dxa"/>
                          <w:left w:w="75" w:type="dxa"/>
                          <w:bottom w:w="75" w:type="dxa"/>
                          <w:right w:w="75" w:type="dxa"/>
                        </w:tcMar>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5333"/>
                          <w:gridCol w:w="3608"/>
                        </w:tblGrid>
                        <w:tr w:rsidR="00FE5E20">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Answer</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40.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Number of submitted substantive change requests: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154"/>
                                <w:gridCol w:w="190"/>
                              </w:tblGrid>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2014-2015: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2013-2014: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w:t>
                                    </w:r>
                                  </w:p>
                                </w:tc>
                              </w:tr>
                              <w:tr w:rsidR="00FE5E20">
                                <w:trPr>
                                  <w:tblCellSpacing w:w="15" w:type="dxa"/>
                                </w:trPr>
                                <w:tc>
                                  <w:tcPr>
                                    <w:tcW w:w="0" w:type="auto"/>
                                    <w:tcMar>
                                      <w:top w:w="15" w:type="dxa"/>
                                      <w:left w:w="15" w:type="dxa"/>
                                      <w:bottom w:w="15" w:type="dxa"/>
                                      <w:right w:w="1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2012-2013: </w:t>
                                    </w:r>
                                  </w:p>
                                </w:tc>
                                <w:tc>
                                  <w:tcPr>
                                    <w:tcW w:w="0" w:type="auto"/>
                                    <w:tcMar>
                                      <w:top w:w="15" w:type="dxa"/>
                                      <w:left w:w="15" w:type="dxa"/>
                                      <w:bottom w:w="15" w:type="dxa"/>
                                      <w:right w:w="15" w:type="dxa"/>
                                    </w:tcMar>
                                    <w:vAlign w:val="center"/>
                                    <w:hideMark/>
                                  </w:tcPr>
                                  <w:p w:rsidR="00FE5E20" w:rsidRDefault="00FE5E20">
                                    <w:pPr>
                                      <w:framePr w:hSpace="45" w:wrap="around" w:vAnchor="text" w:hAnchor="text"/>
                                      <w:jc w:val="right"/>
                                      <w:rPr>
                                        <w:rFonts w:ascii="Verdana" w:hAnsi="Verdana"/>
                                        <w:color w:val="444444"/>
                                        <w:sz w:val="18"/>
                                        <w:szCs w:val="18"/>
                                      </w:rPr>
                                    </w:pPr>
                                    <w:r>
                                      <w:rPr>
                                        <w:rFonts w:ascii="Verdana" w:hAnsi="Verdana"/>
                                        <w:color w:val="444444"/>
                                        <w:sz w:val="18"/>
                                        <w:szCs w:val="18"/>
                                      </w:rPr>
                                      <w:t>0</w:t>
                                    </w:r>
                                  </w:p>
                                </w:tc>
                              </w:tr>
                            </w:tbl>
                            <w:p w:rsidR="00FE5E20" w:rsidRDefault="00FE5E20">
                              <w:pPr>
                                <w:rPr>
                                  <w:rFonts w:eastAsia="Times New Roman"/>
                                  <w:sz w:val="20"/>
                                  <w:szCs w:val="20"/>
                                </w:rPr>
                              </w:pP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41a.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Is the institution anticipating a proposal for a substantive change in any of the following change categories? (Check all that apply)</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Location and/or Geographic Area Served</w:t>
                              </w:r>
                              <w:r>
                                <w:rPr>
                                  <w:rFonts w:ascii="Verdana" w:hAnsi="Verdana"/>
                                  <w:color w:val="444444"/>
                                  <w:sz w:val="18"/>
                                  <w:szCs w:val="18"/>
                                </w:rPr>
                                <w:br/>
                                <w:t>Delivery mode (Distance Education or Correspondence Education)</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41b.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Explain the change(s) for which you will be submitting a substantive change proposal:</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Delivery mode: Distance Education (Submitted February 2016) </w:t>
                              </w:r>
                              <w:r>
                                <w:rPr>
                                  <w:rFonts w:ascii="Verdana" w:hAnsi="Verdana"/>
                                  <w:color w:val="444444"/>
                                  <w:sz w:val="18"/>
                                  <w:szCs w:val="18"/>
                                </w:rPr>
                                <w:br/>
                                <w:t>Change of Location (Scheduled to be submitted May 2016)</w:t>
                              </w:r>
                            </w:p>
                          </w:tc>
                        </w:tr>
                      </w:tbl>
                      <w:p w:rsidR="00FE5E20" w:rsidRDefault="00FE5E20">
                        <w:pPr>
                          <w:rPr>
                            <w:rFonts w:eastAsia="Times New Roman"/>
                            <w:sz w:val="20"/>
                            <w:szCs w:val="20"/>
                          </w:rPr>
                        </w:pPr>
                      </w:p>
                    </w:tc>
                  </w:tr>
                  <w:tr w:rsidR="00FE5E20">
                    <w:trPr>
                      <w:trHeight w:val="75"/>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spacing w:line="75" w:lineRule="atLeast"/>
                          <w:rPr>
                            <w:rFonts w:ascii="Verdana" w:hAnsi="Verdana"/>
                            <w:color w:val="444444"/>
                            <w:sz w:val="18"/>
                            <w:szCs w:val="18"/>
                          </w:rPr>
                        </w:pPr>
                        <w:r>
                          <w:rPr>
                            <w:rFonts w:ascii="Verdana" w:hAnsi="Verdana"/>
                            <w:color w:val="444444"/>
                            <w:sz w:val="18"/>
                            <w:szCs w:val="18"/>
                          </w:rPr>
                          <w:t> </w:t>
                        </w:r>
                      </w:p>
                    </w:tc>
                  </w:tr>
                  <w:tr w:rsidR="00FE5E20">
                    <w:trPr>
                      <w:tblCellSpacing w:w="15" w:type="dxa"/>
                      <w:jc w:val="center"/>
                    </w:trPr>
                    <w:tc>
                      <w:tcPr>
                        <w:tcW w:w="0" w:type="auto"/>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444444"/>
                            <w:sz w:val="18"/>
                            <w:szCs w:val="18"/>
                          </w:rPr>
                          <w:t>Other Information</w:t>
                        </w:r>
                      </w:p>
                    </w:tc>
                  </w:tr>
                  <w:tr w:rsidR="00FE5E20">
                    <w:trPr>
                      <w:tblCellSpacing w:w="15" w:type="dxa"/>
                      <w:jc w:val="center"/>
                    </w:trPr>
                    <w:tc>
                      <w:tcPr>
                        <w:tcW w:w="0" w:type="auto"/>
                        <w:tcMar>
                          <w:top w:w="75" w:type="dxa"/>
                          <w:left w:w="75" w:type="dxa"/>
                          <w:bottom w:w="75" w:type="dxa"/>
                          <w:right w:w="75" w:type="dxa"/>
                        </w:tcMar>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5373"/>
                          <w:gridCol w:w="3568"/>
                        </w:tblGrid>
                        <w:tr w:rsidR="00FE5E20">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jc w:val="center"/>
                                <w:rPr>
                                  <w:rFonts w:ascii="Verdana" w:hAnsi="Verdana"/>
                                  <w:b/>
                                  <w:bCs/>
                                  <w:color w:val="444444"/>
                                  <w:sz w:val="18"/>
                                  <w:szCs w:val="18"/>
                                </w:rPr>
                              </w:pPr>
                              <w:r>
                                <w:rPr>
                                  <w:rFonts w:ascii="Verdana" w:hAnsi="Verdana"/>
                                  <w:b/>
                                  <w:bCs/>
                                  <w:color w:val="444444"/>
                                  <w:sz w:val="18"/>
                                  <w:szCs w:val="18"/>
                                </w:rPr>
                                <w:t>Answer</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42a.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Identify site additions and deletions since the submission of the 2015 Annual Report: </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n/a</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42b.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List all instructional sites other than the home campus where 50% or more of a program, certificate, or degree is offered:</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n/a</w:t>
                              </w:r>
                            </w:p>
                          </w:tc>
                        </w:tr>
                        <w:tr w:rsidR="00FE5E20">
                          <w:trPr>
                            <w:tblCellSpacing w:w="15" w:type="dxa"/>
                          </w:trPr>
                          <w:tc>
                            <w:tcPr>
                              <w:tcW w:w="3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43. </w:t>
                              </w:r>
                            </w:p>
                          </w:tc>
                          <w:tc>
                            <w:tcPr>
                              <w:tcW w:w="57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xml:space="preserve">List all of the institutions instructional sites out of state </w:t>
                              </w:r>
                              <w:r>
                                <w:rPr>
                                  <w:rFonts w:ascii="Verdana" w:hAnsi="Verdana"/>
                                  <w:color w:val="444444"/>
                                  <w:sz w:val="18"/>
                                  <w:szCs w:val="18"/>
                                </w:rPr>
                                <w:lastRenderedPageBreak/>
                                <w:t>and outside the United States:</w:t>
                              </w:r>
                            </w:p>
                          </w:tc>
                          <w:tc>
                            <w:tcPr>
                              <w:tcW w:w="3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lastRenderedPageBreak/>
                                <w:t>n/a</w:t>
                              </w:r>
                            </w:p>
                          </w:tc>
                        </w:tr>
                      </w:tbl>
                      <w:p w:rsidR="00FE5E20" w:rsidRDefault="00FE5E20">
                        <w:pPr>
                          <w:rPr>
                            <w:rFonts w:eastAsia="Times New Roman"/>
                            <w:sz w:val="20"/>
                            <w:szCs w:val="20"/>
                          </w:rPr>
                        </w:pPr>
                      </w:p>
                    </w:tc>
                  </w:tr>
                </w:tbl>
                <w:p w:rsidR="00FE5E20" w:rsidRDefault="00FE5E20">
                  <w:pPr>
                    <w:jc w:val="center"/>
                    <w:rPr>
                      <w:rFonts w:eastAsia="Times New Roman"/>
                      <w:sz w:val="20"/>
                      <w:szCs w:val="20"/>
                    </w:rPr>
                  </w:pPr>
                </w:p>
              </w:tc>
              <w:tc>
                <w:tcPr>
                  <w:tcW w:w="0" w:type="auto"/>
                  <w:vAlign w:val="center"/>
                  <w:hideMark/>
                </w:tcPr>
                <w:p w:rsidR="00FE5E20" w:rsidRDefault="00FE5E20">
                  <w:pPr>
                    <w:rPr>
                      <w:rFonts w:eastAsia="Times New Roman"/>
                      <w:sz w:val="20"/>
                      <w:szCs w:val="20"/>
                    </w:rPr>
                  </w:pPr>
                </w:p>
              </w:tc>
            </w:tr>
            <w:tr w:rsidR="00FE5E20">
              <w:trPr>
                <w:trHeight w:val="150"/>
                <w:tblCellSpacing w:w="0" w:type="dxa"/>
                <w:jc w:val="center"/>
              </w:trPr>
              <w:tc>
                <w:tcPr>
                  <w:tcW w:w="0" w:type="auto"/>
                  <w:vAlign w:val="center"/>
                  <w:hideMark/>
                </w:tcPr>
                <w:p w:rsidR="00FE5E20" w:rsidRDefault="00FE5E20">
                  <w:pPr>
                    <w:framePr w:hSpace="45" w:wrap="around" w:vAnchor="text" w:hAnchor="text"/>
                    <w:spacing w:line="150" w:lineRule="atLeast"/>
                    <w:rPr>
                      <w:rFonts w:ascii="Verdana" w:hAnsi="Verdana"/>
                      <w:color w:val="444444"/>
                      <w:sz w:val="18"/>
                      <w:szCs w:val="18"/>
                    </w:rPr>
                  </w:pPr>
                  <w:r>
                    <w:rPr>
                      <w:rFonts w:ascii="Verdana" w:hAnsi="Verdana"/>
                      <w:color w:val="444444"/>
                      <w:sz w:val="18"/>
                      <w:szCs w:val="18"/>
                    </w:rPr>
                    <w:lastRenderedPageBreak/>
                    <w:t> </w:t>
                  </w:r>
                </w:p>
              </w:tc>
              <w:tc>
                <w:tcPr>
                  <w:tcW w:w="0" w:type="auto"/>
                  <w:vAlign w:val="center"/>
                  <w:hideMark/>
                </w:tcPr>
                <w:p w:rsidR="00FE5E20" w:rsidRDefault="00FE5E20">
                  <w:pPr>
                    <w:rPr>
                      <w:rFonts w:eastAsia="Times New Roman"/>
                      <w:sz w:val="20"/>
                      <w:szCs w:val="20"/>
                    </w:rPr>
                  </w:pPr>
                </w:p>
              </w:tc>
            </w:tr>
            <w:tr w:rsidR="00FE5E20">
              <w:trPr>
                <w:tblCellSpacing w:w="0" w:type="dxa"/>
                <w:jc w:val="center"/>
              </w:trPr>
              <w:tc>
                <w:tcPr>
                  <w:tcW w:w="0" w:type="auto"/>
                  <w:vAlign w:val="center"/>
                  <w:hideMark/>
                </w:tcPr>
                <w:p w:rsidR="00FE5E20" w:rsidRDefault="00FE5E20">
                  <w:pPr>
                    <w:framePr w:hSpace="45" w:wrap="around" w:vAnchor="text" w:hAnchor="text"/>
                    <w:rPr>
                      <w:rFonts w:ascii="Verdana" w:hAnsi="Verdana"/>
                      <w:color w:val="444444"/>
                      <w:sz w:val="18"/>
                      <w:szCs w:val="18"/>
                    </w:rPr>
                  </w:pPr>
                  <w:r>
                    <w:rPr>
                      <w:rStyle w:val="Strong"/>
                      <w:rFonts w:ascii="Verdana" w:hAnsi="Verdana"/>
                      <w:color w:val="444444"/>
                      <w:sz w:val="18"/>
                      <w:szCs w:val="18"/>
                    </w:rPr>
                    <w:t>The data included in this report are certified as a complete and accurate representation of the reporting institution.</w:t>
                  </w:r>
                </w:p>
              </w:tc>
              <w:tc>
                <w:tcPr>
                  <w:tcW w:w="0" w:type="auto"/>
                  <w:vAlign w:val="center"/>
                  <w:hideMark/>
                </w:tcPr>
                <w:p w:rsidR="00FE5E20" w:rsidRDefault="00FE5E20">
                  <w:pPr>
                    <w:rPr>
                      <w:rFonts w:eastAsia="Times New Roman"/>
                      <w:sz w:val="20"/>
                      <w:szCs w:val="20"/>
                    </w:rPr>
                  </w:pPr>
                </w:p>
              </w:tc>
            </w:tr>
            <w:tr w:rsidR="00FE5E20">
              <w:trPr>
                <w:trHeight w:val="300"/>
                <w:tblCellSpacing w:w="0" w:type="dxa"/>
                <w:jc w:val="center"/>
              </w:trPr>
              <w:tc>
                <w:tcPr>
                  <w:tcW w:w="0" w:type="auto"/>
                  <w:vAlign w:val="center"/>
                  <w:hideMark/>
                </w:tcPr>
                <w:p w:rsidR="00FE5E20" w:rsidRDefault="00FE5E20">
                  <w:pPr>
                    <w:framePr w:hSpace="45" w:wrap="around" w:vAnchor="text" w:hAnchor="text"/>
                    <w:rPr>
                      <w:rFonts w:ascii="Verdana" w:hAnsi="Verdana"/>
                      <w:color w:val="444444"/>
                      <w:sz w:val="18"/>
                      <w:szCs w:val="18"/>
                    </w:rPr>
                  </w:pPr>
                  <w:r>
                    <w:rPr>
                      <w:rFonts w:ascii="Verdana" w:hAnsi="Verdana"/>
                      <w:color w:val="444444"/>
                      <w:sz w:val="18"/>
                      <w:szCs w:val="18"/>
                    </w:rPr>
                    <w:t> </w:t>
                  </w:r>
                </w:p>
              </w:tc>
              <w:tc>
                <w:tcPr>
                  <w:tcW w:w="0" w:type="auto"/>
                  <w:vAlign w:val="center"/>
                  <w:hideMark/>
                </w:tcPr>
                <w:p w:rsidR="00FE5E20" w:rsidRDefault="00FE5E20">
                  <w:pPr>
                    <w:rPr>
                      <w:rFonts w:eastAsia="Times New Roman"/>
                      <w:sz w:val="20"/>
                      <w:szCs w:val="20"/>
                    </w:rPr>
                  </w:pPr>
                </w:p>
              </w:tc>
            </w:tr>
            <w:tr w:rsidR="00FE5E20">
              <w:trPr>
                <w:tblCellSpacing w:w="0" w:type="dxa"/>
                <w:jc w:val="center"/>
              </w:trPr>
              <w:tc>
                <w:tcPr>
                  <w:tcW w:w="0" w:type="auto"/>
                  <w:vAlign w:val="center"/>
                  <w:hideMark/>
                </w:tcPr>
                <w:p w:rsidR="00FE5E20" w:rsidRDefault="00FE5E20">
                  <w:pPr>
                    <w:pStyle w:val="NormalWeb"/>
                    <w:framePr w:hSpace="45" w:wrap="around" w:vAnchor="text" w:hAnchor="text"/>
                    <w:rPr>
                      <w:rFonts w:ascii="Verdana" w:hAnsi="Verdana"/>
                      <w:color w:val="444444"/>
                      <w:sz w:val="18"/>
                      <w:szCs w:val="18"/>
                    </w:rPr>
                  </w:pPr>
                  <w:r>
                    <w:rPr>
                      <w:rFonts w:ascii="Verdana" w:hAnsi="Verdana"/>
                      <w:color w:val="444444"/>
                      <w:sz w:val="18"/>
                      <w:szCs w:val="18"/>
                    </w:rPr>
                    <w:t>If you need additional assistance, please contact the commission.</w:t>
                  </w:r>
                </w:p>
                <w:p w:rsidR="00FE5E20" w:rsidRDefault="00FE5E20">
                  <w:pPr>
                    <w:pStyle w:val="NormalWeb"/>
                    <w:framePr w:hSpace="45" w:wrap="around" w:vAnchor="text" w:hAnchor="text"/>
                    <w:rPr>
                      <w:rFonts w:ascii="Verdana" w:hAnsi="Verdana"/>
                      <w:color w:val="444444"/>
                      <w:sz w:val="18"/>
                      <w:szCs w:val="18"/>
                    </w:rPr>
                  </w:pPr>
                  <w:r>
                    <w:rPr>
                      <w:rFonts w:ascii="Verdana" w:hAnsi="Verdana"/>
                      <w:color w:val="444444"/>
                      <w:sz w:val="18"/>
                      <w:szCs w:val="18"/>
                    </w:rPr>
                    <w:t>Sincerely,</w:t>
                  </w:r>
                </w:p>
                <w:p w:rsidR="00FE5E20" w:rsidRDefault="00FE5E20">
                  <w:pPr>
                    <w:pStyle w:val="NormalWeb"/>
                    <w:framePr w:hSpace="45" w:wrap="around" w:vAnchor="text" w:hAnchor="text"/>
                    <w:rPr>
                      <w:rFonts w:ascii="Verdana" w:hAnsi="Verdana"/>
                      <w:color w:val="444444"/>
                      <w:sz w:val="18"/>
                      <w:szCs w:val="18"/>
                    </w:rPr>
                  </w:pPr>
                  <w:r>
                    <w:rPr>
                      <w:rFonts w:ascii="Verdana" w:hAnsi="Verdana"/>
                      <w:color w:val="444444"/>
                      <w:sz w:val="18"/>
                      <w:szCs w:val="18"/>
                    </w:rPr>
                    <w:t>ACCJC</w:t>
                  </w:r>
                  <w:r>
                    <w:rPr>
                      <w:rFonts w:ascii="Verdana" w:hAnsi="Verdana"/>
                      <w:color w:val="444444"/>
                      <w:sz w:val="18"/>
                      <w:szCs w:val="18"/>
                    </w:rPr>
                    <w:br/>
                    <w:t>10 Commercial Blvd., Suite 204</w:t>
                  </w:r>
                  <w:r>
                    <w:rPr>
                      <w:rFonts w:ascii="Verdana" w:hAnsi="Verdana"/>
                      <w:color w:val="444444"/>
                      <w:sz w:val="18"/>
                      <w:szCs w:val="18"/>
                    </w:rPr>
                    <w:br/>
                    <w:t>Novato, CA 94949</w:t>
                  </w:r>
                  <w:r>
                    <w:rPr>
                      <w:rFonts w:ascii="Verdana" w:hAnsi="Verdana"/>
                      <w:color w:val="444444"/>
                      <w:sz w:val="18"/>
                      <w:szCs w:val="18"/>
                    </w:rPr>
                    <w:br/>
                    <w:t xml:space="preserve">email: </w:t>
                  </w:r>
                  <w:hyperlink r:id="rId14" w:history="1">
                    <w:r>
                      <w:rPr>
                        <w:rStyle w:val="Hyperlink"/>
                        <w:rFonts w:ascii="Verdana" w:hAnsi="Verdana"/>
                        <w:sz w:val="18"/>
                        <w:szCs w:val="18"/>
                      </w:rPr>
                      <w:t>support@accjc.org</w:t>
                    </w:r>
                  </w:hyperlink>
                  <w:r>
                    <w:rPr>
                      <w:rFonts w:ascii="Verdana" w:hAnsi="Verdana"/>
                      <w:color w:val="444444"/>
                      <w:sz w:val="18"/>
                      <w:szCs w:val="18"/>
                    </w:rPr>
                    <w:br/>
                    <w:t xml:space="preserve">phone: 415-506-0234 </w:t>
                  </w:r>
                </w:p>
              </w:tc>
              <w:tc>
                <w:tcPr>
                  <w:tcW w:w="0" w:type="auto"/>
                  <w:vAlign w:val="center"/>
                  <w:hideMark/>
                </w:tcPr>
                <w:p w:rsidR="00FE5E20" w:rsidRDefault="00FE5E20">
                  <w:pPr>
                    <w:rPr>
                      <w:rFonts w:eastAsia="Times New Roman"/>
                      <w:sz w:val="20"/>
                      <w:szCs w:val="20"/>
                    </w:rPr>
                  </w:pPr>
                </w:p>
              </w:tc>
            </w:tr>
          </w:tbl>
          <w:p w:rsidR="00FE5E20" w:rsidRDefault="00FE5E20">
            <w:pPr>
              <w:jc w:val="center"/>
              <w:rPr>
                <w:rFonts w:eastAsia="Times New Roman"/>
                <w:sz w:val="20"/>
                <w:szCs w:val="20"/>
              </w:rPr>
            </w:pPr>
          </w:p>
        </w:tc>
      </w:tr>
    </w:tbl>
    <w:p w:rsidR="00875295" w:rsidRDefault="00FE5E20">
      <w:bookmarkStart w:id="0" w:name="_GoBack"/>
      <w:bookmarkEnd w:id="0"/>
    </w:p>
    <w:sectPr w:rsidR="0087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20"/>
    <w:rsid w:val="001E288B"/>
    <w:rsid w:val="00614638"/>
    <w:rsid w:val="00986AAA"/>
    <w:rsid w:val="009A23F1"/>
    <w:rsid w:val="00FE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E20"/>
    <w:rPr>
      <w:strike w:val="0"/>
      <w:dstrike w:val="0"/>
      <w:color w:val="050663"/>
      <w:u w:val="none"/>
      <w:effect w:val="none"/>
    </w:rPr>
  </w:style>
  <w:style w:type="paragraph" w:styleId="NormalWeb">
    <w:name w:val="Normal (Web)"/>
    <w:basedOn w:val="Normal"/>
    <w:uiPriority w:val="99"/>
    <w:unhideWhenUsed/>
    <w:rsid w:val="00FE5E20"/>
    <w:pPr>
      <w:spacing w:before="100" w:beforeAutospacing="1" w:after="100" w:afterAutospacing="1"/>
    </w:pPr>
  </w:style>
  <w:style w:type="character" w:styleId="Strong">
    <w:name w:val="Strong"/>
    <w:basedOn w:val="DefaultParagraphFont"/>
    <w:uiPriority w:val="22"/>
    <w:qFormat/>
    <w:rsid w:val="00FE5E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E20"/>
    <w:rPr>
      <w:strike w:val="0"/>
      <w:dstrike w:val="0"/>
      <w:color w:val="050663"/>
      <w:u w:val="none"/>
      <w:effect w:val="none"/>
    </w:rPr>
  </w:style>
  <w:style w:type="paragraph" w:styleId="NormalWeb">
    <w:name w:val="Normal (Web)"/>
    <w:basedOn w:val="Normal"/>
    <w:uiPriority w:val="99"/>
    <w:unhideWhenUsed/>
    <w:rsid w:val="00FE5E20"/>
    <w:pPr>
      <w:spacing w:before="100" w:beforeAutospacing="1" w:after="100" w:afterAutospacing="1"/>
    </w:pPr>
  </w:style>
  <w:style w:type="character" w:styleId="Strong">
    <w:name w:val="Strong"/>
    <w:basedOn w:val="DefaultParagraphFont"/>
    <w:uiPriority w:val="22"/>
    <w:qFormat/>
    <w:rsid w:val="00FE5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jc.org/annualreport" TargetMode="External"/><Relationship Id="rId13" Type="http://schemas.openxmlformats.org/officeDocument/2006/relationships/hyperlink" Target="http://www.gavilan.edu/slo/"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kinsella@gavilan.edu" TargetMode="External"/><Relationship Id="rId12" Type="http://schemas.openxmlformats.org/officeDocument/2006/relationships/hyperlink" Target="http://www.gavilan.edu/profile.html"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upport@accjc.org" TargetMode="External"/><Relationship Id="rId11" Type="http://schemas.openxmlformats.org/officeDocument/2006/relationships/hyperlink" Target="http://www.gavilan.edu/catalog/2015-2017/pdf/GavilanCatalog_CollegeProfile.pdf" TargetMode="External"/><Relationship Id="rId5" Type="http://schemas.openxmlformats.org/officeDocument/2006/relationships/hyperlink" Target="mailto:support@accjc.org" TargetMode="External"/><Relationship Id="rId15" Type="http://schemas.openxmlformats.org/officeDocument/2006/relationships/fontTable" Target="fontTable.xml"/><Relationship Id="rId10" Type="http://schemas.openxmlformats.org/officeDocument/2006/relationships/hyperlink" Target="mailto:krose@gavilan.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support@accj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F731D71CAE7479F179395780E1C49" ma:contentTypeVersion="12" ma:contentTypeDescription="Create a new document." ma:contentTypeScope="" ma:versionID="8452268e8f2ca93417dbf26eb6dc10a1">
  <xsd:schema xmlns:xsd="http://www.w3.org/2001/XMLSchema" xmlns:xs="http://www.w3.org/2001/XMLSchema" xmlns:p="http://schemas.microsoft.com/office/2006/metadata/properties" xmlns:ns2="04874ff2-83f5-4125-8153-709b67fc7f74" xmlns:ns3="dbf839e3-64a1-4d73-9d46-3415d92304a4" targetNamespace="http://schemas.microsoft.com/office/2006/metadata/properties" ma:root="true" ma:fieldsID="b15e1e77990950e30ce9c8f2e0a791f1" ns2:_="" ns3:_="">
    <xsd:import namespace="04874ff2-83f5-4125-8153-709b67fc7f74"/>
    <xsd:import namespace="dbf839e3-64a1-4d73-9d46-3415d9230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4ff2-83f5-4125-8153-709b67fc7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f839e3-64a1-4d73-9d46-3415d9230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CEF8D-438B-45EC-874E-66E95F00497B}"/>
</file>

<file path=customXml/itemProps2.xml><?xml version="1.0" encoding="utf-8"?>
<ds:datastoreItem xmlns:ds="http://schemas.openxmlformats.org/officeDocument/2006/customXml" ds:itemID="{0FCC9DE1-B34D-4AB1-B81F-BDC63E0502DD}"/>
</file>

<file path=customXml/itemProps3.xml><?xml version="1.0" encoding="utf-8"?>
<ds:datastoreItem xmlns:ds="http://schemas.openxmlformats.org/officeDocument/2006/customXml" ds:itemID="{C775C5AF-E720-4E53-9D20-293C34444F6B}"/>
</file>

<file path=docProps/app.xml><?xml version="1.0" encoding="utf-8"?>
<Properties xmlns="http://schemas.openxmlformats.org/officeDocument/2006/extended-properties" xmlns:vt="http://schemas.openxmlformats.org/officeDocument/2006/docPropsVTypes">
  <Template>Normal.dotm</Template>
  <TotalTime>0</TotalTime>
  <Pages>8</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Conaway</dc:creator>
  <cp:keywords/>
  <dc:description/>
  <cp:lastModifiedBy>Pilar Conaway</cp:lastModifiedBy>
  <cp:revision>1</cp:revision>
  <dcterms:created xsi:type="dcterms:W3CDTF">2016-03-30T22:17:00Z</dcterms:created>
  <dcterms:modified xsi:type="dcterms:W3CDTF">2016-03-30T22:17:00Z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0x01010012FF731D71CAE7479F179395780E1C49</vt:lpwstr>
  </property>
</Properties>
</file>